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D-4727/2011 vom 10. November 2011</w:t>
      </w:r>
    </w:p>
    <w:p>
      <w:r>
        <w:t>Bundesverwaltungsgericht, 2011-11-10, DE</w:t>
      </w:r>
    </w:p>
    <w:p>
      <w:r>
        <w:rPr>
          <w:b/>
        </w:rPr>
        <w:t xml:space="preserve">Quelle: </w:t>
      </w:r>
      <w:r>
        <w:t>https://mcp.opencaselaw.ch/entscheid/bvger_D-4727_2011</w:t>
      </w:r>
    </w:p>
    <w:p>
      <w:r>
        <w:t>FR: TAF D-4727/2011 du 10 novembre 2011</w:t>
      </w:r>
    </w:p>
    <w:p>
      <w:r>
        <w:t>IT: TAF D-4727/2011 del 10 novembre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Beschwerdeschrift ist weder ein Begehren um Gewährung von Asyl noch ein solches um Aufhebung der Wegweisung zu entnehmen. Die Ziffern 2 und 3 des Dispositivs der angefochtenen Verfügung sind mit Ablauf der 30-tägigen Rechtsmittelfrist in Rechtskraft erwachsen. Beschwerdegegenstand bildet demnach nur die Feststellung der Flüchtlingseigenschaft.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5.1</w:t>
      </w:r>
    </w:p>
    <w:p>
      <w:r>
        <w:t>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Herkunftsland eine Gefährdungssituation erst geschaffen worden ist, macht subjektive Nachfluchtgründe geltend (vgl. Art. 54 AsylG).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Schweizerischen Asylrekurskommission [EMARK] 1995 Nr. 7 E. 7b und 8 S. 67 ff.; EMARK 2000 Nr. 16 E. 5a S. 141 f., mit weiteren Hinweisen).</w:t>
      </w:r>
    </w:p>
    <w:p>
      <w:r>
        <w:rPr>
          <w:b/>
        </w:rPr>
        <w:t>E. 6.1</w:t>
      </w:r>
    </w:p>
    <w:p>
      <w:r>
        <w:t>Zur Begründung seiner Beschwerdeschrift macht der Beschwerdeführer im Wesentlichen geltend, die AES sei eine Vereinigung, die auch politische Ziele verfolge. Auch das vorliegende Bestätigungsschreiben der AES zeige klar auf, dass der Beschwerdeführer politisch aktiv sei und sich in starkem Masse für die politischen Anliegen der äthiopischen Opposition einsetze. Auch für die ASSUFDE sei der Beschwerdeführer in einem überdurchschnittlichen Masse aktiv gewesen. So habe er an verschiedenen Demonstrationen teilgenommen. Entgegen den Erwägungen in der angefochtenen Verfügung führe auch eine "niederprofilige" Aktivität für eine exilpolitische Partei wie die ASSUFDE dazu, dass die Aufmerksamkeit der äthiopischen Geheimdienste geweckt werde. Da der Beschwerdeführer bereits vor seiner Flucht in die Schweiz in Äthiopien politisch aktiv und daher den Behörden bekannt gewesen sei, müsse davon ausgegangen werden, dass er nach wie vor von den Geheimdiensten überwacht werde und so bei einer allfälligen Rückkehr unmenschlicher Behandlung ausgesetzt würde. Die Einschätzung der Vorinstanz stütze sich durchwegs auf unhaltbare Argumente oder Behauptungen. Mit der Flüchtlingsrelevanz der Vorbringen setze sich die Vorinstanz gar nicht erst auseinander. Diese sei jedoch zweifelsfrei gegeben. Die drohende Verfolgung sei politisch motiviert und gefährde den Beschwerdeführer konkret an Leib und Leben.</w:t>
      </w:r>
    </w:p>
    <w:p>
      <w:r>
        <w:rPr>
          <w:b/>
        </w:rPr>
        <w:t>E. 6.2</w:t>
      </w:r>
    </w:p>
    <w:p>
      <w:r>
        <w:t>Aus der Rechtsmitteleingabe ergibt sich als Rüge die Verletzung von Bundesrecht, indem dem Beschwerdeführer zu Unrecht die Flüchtlingseigenschaft nicht zuerkannt worden sei. Wie jedoch bereits in der Zwischenverfügung vom 1. September 2011 festgestellt, kommt nun das Bundesverwaltungsgericht auch nach einer vertieften Prüfung der vorliegenden Akten zum Schluss, dass die Schlussfolgerungen der Vorinstanz zutreffen und die Ausführungen im Beschwerdeverfahren nicht geeignet sind, diese zu entkräften. Zwar hat der Beschwerdeführer im ersten Asylverfahren eine Verfolgungssituation geltend gemacht, doch haben sich die entsprechenden Vorbringen als unglaubhaft erwiesen. Dementsprechend gibt es keinen Anlass zur Annahme, der Beschwerdeführer sei vor seiner Ausreise ins Blickfeld der äthiopischen Behörden geraten. Bezüglich seines dargelegten exilpolitischen Engagements gelangt auch das Bundesverwaltungsgericht zum Schluss, dass insgesamt keine subjektiven Nachfluchtgründe vorliegen. Für die Einschätzung einer Verfolgungsgefahr sind Positionen (z.B. Vorsitzende/r einer Exilgruppe), Form und Einfluss von Aktionen (z.B. gewaltsamer Protest) massgeblich (vgl. allgemein zum Grad der Exponierung bei exilpolitischen Tätigkeiten auch BVGE 2009/28 E. 7.4.3 S. 364 f., Urteile des Bundesverwaltungsgerichts D-5231/2006 vom 18. September 2009 E.5.2, E-4390/2006 vom 27. August 2009 E.3.4.3 und D-5907/2006 vom 16. Juli 2009 E.4.5.3). Dabei ist nicht primär das Hervortreten im Sinne einer optischen Erkennbarkeit und Individualisierbarkeit, sondern eine derartige Exponierung in der Öffentlichkeit massgebend, die den Eindruck erweckt, dass der Asylsuchende zu einer Gefahr für den Bestand des äthiopischen Systems wird. Dass die äthiopischen Sicherheitsbehörden zwischen tatsächlich politisch engagierten Regimekritikern und Exilaktivisten, die mit ihren Aktionen in erster Linie die Chancen auf ein Aufenthaltsrecht zu erhöhen versuchen, zu unterscheiden vermögen, darf auch unter Berücksichtigung der aktuellen Lage im Äthiopien vorausgesetzt werden. Bei dieser Sachlage liegt beim Beschwerdeführer kein subjektiver Nachfluchtgrund im Sinne von Art. 54 AsylG vor, und dies umso weniger, als im vorliegenden Fall jegliche aktenkundige Hinweise darauf fehlen, dass gegen ihn aufgrund der exilpolitischen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abzuklären. Im Übrigen wird zur Vermeidung von Wiederholungen auf die Erwägungen der Vorinstanz und die Zwischenverfügung des Gerichts vom 1. September 2011 verwiesen. Die erhobene Rüge (Verletzung von Bundesrecht) erweist sich nach dem Gesagten als unbegründet.</w:t>
      </w:r>
    </w:p>
    <w:p>
      <w:r>
        <w:rPr>
          <w:b/>
        </w:rPr>
        <w:t>E. 6.3</w:t>
      </w:r>
    </w:p>
    <w:p>
      <w:r>
        <w:t>Aufgrund der vorstehenden Erwägungen erübrigt es sich, auf die übrigen Ausführungen in der Beschwerde und die als Beweismittel eingereichten Dokumente einzugehen, weil sie am Ergebnis nichts ändern können. Unter Berücksichtigung der gesamten Umstände folgt, dass der Beschwerdeführer keine Gründe nach Art. 3 AsylG nachweisen oder glaubhaft machen konnte und er auch die Voraussetzungen für die Anerkennung von subjektiven Nachfluchtgründen im Sinne von Art. 54 AsylG nicht erfüllt. Das BFM hat demzufolge die Flüchtlingseigenschaft des Beschwerdeführers zu Recht verneint.</w:t>
      </w:r>
    </w:p>
    <w:p>
      <w:r>
        <w:rPr>
          <w:b/>
        </w:rPr>
        <w:t>E. 7</w:t>
      </w:r>
    </w:p>
    <w:p>
      <w:r>
        <w:t>Das BFM hat in der angefochtenen Verfügung den Vollzug der angeordneten Wegweisung wegen Unzumutbarkeit zu Gunsten einer vorläufigen Aufnahme aufgeschoben. 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(ab- und weggewiesenen) Asylsuchenden wiederum die Beschwerde an das Bundesverwaltungsgericht offen, wobei in jenem Verfahren sämtliche drei Vollzugshindernisse von Amtes wegen und nach Massgabe der dannzumal herrschenden Verhältnisse von Neuem zu prüfen sind (BVGE 2009/51 E. 5.4). Demnach ist, solange die von der Vorinstanz verfügte vorläufige Aufnahme wegen Unzumutbarkeit des Wegweisungsvollzugs weiterbesteht, kein Rechtsschutzinteresse des Beschwerdeführers an der Prüfung der Frage der Zulässigkeit des Wegweisungsvollzugs gegeben.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5. September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