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D-4725/2015 vom 19. Juli 2017</w:t>
      </w:r>
    </w:p>
    <w:p>
      <w:r>
        <w:t>Bundesverwaltungsgericht, 2017-07-19, DE</w:t>
      </w:r>
    </w:p>
    <w:p>
      <w:r>
        <w:rPr>
          <w:b/>
        </w:rPr>
        <w:t xml:space="preserve">Quelle: </w:t>
      </w:r>
      <w:r>
        <w:t>https://mcp.opencaselaw.ch/entscheid/bvger_D-4725_2015</w:t>
      </w:r>
    </w:p>
    <w:p>
      <w:r>
        <w:t>FR: TAF D-4725/2015 du 19 juillet 2017</w:t>
      </w:r>
    </w:p>
    <w:p>
      <w:r>
        <w:t>IT: TAF D-4725/2015 del 19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der vorliegenden Beschwerde wird einzig die Überprüfung der Flüchtlingseigenschaft beantragt. Damit ist die vorinstanzliche Verfügung im Asylpunkt (vgl. Ziffer 2 des Verfügungsdispositivs) in Rechtskraft erwachsen. Die von der Vorinstanz angeordnete Wegweisung an sich (vgl. Ziffer 3 des Verfügungsdispositivs) wird ebenfalls nicht angefochten. Gegenstand des vorliegenden Beschwerdeverfahrens bildet demnach lediglich die Frage, ob die Vorinstanz die Flüchtlingseigenschaft des Beschwerdeführers zu Recht verneint hat oder nicht.</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Asylgesuches machte der Beschwerdeführer im Wesentlichen geltend, er habe bis zu seinem Schulabbruch im Jahre (...) bei seiner Mutter in E._______, F._______, G._______ gewohnt. Im Jahre (...) sei er wegen einer Schlägerei für einen Monat inhaftiert und anschliessend wieder entlassen, jedoch nicht verurteilt worden, da die anderen Beteiligten verhaftet worden seien und der Fall damit habe aufgeklärt werden können. Nach dem Schulabbruch habe er bei seinem Vater in H._______, I._______ gelebt und diesen in der (...) unterstützt. Bei seiner Anhörung machte der Beschwerdeführer ausserdem geltend, dass er eine schriftliche Vorladung für den Militärdienst erhalten habe und mehrmals von den eritreischen Behörden gesucht worden sei. Nach seiner Ausreise sei er im Sudan entführt und nach Ägypten verbracht worden, wo man ihn verhaftet und schliesslich nach Äthiopien ausgeschafft habe.</w:t>
      </w:r>
    </w:p>
    <w:p>
      <w:r>
        <w:rPr>
          <w:b/>
        </w:rPr>
        <w:t>E. 6.2</w:t>
      </w:r>
    </w:p>
    <w:p>
      <w:r>
        <w:t>Das SEM führte zur Begründung seiner Verfügung vom 6. Juli 2015 im Wesentlichen aus, die Vorbringen des Beschwerdeführers seien nicht asylrelevant im Sinne von Art. 3 AsylG (Inhaftierung zufolge Schlägerei, Ereignisse ausserhalb des Heimatstaates). Weitere Vorbringen (Vorladung zum Militärdienst, illegale Ausreise) würden den Anforderungen an die Glaubhaftigkeit gemäss Art. 7 AsylG nicht standhalten.</w:t>
      </w:r>
    </w:p>
    <w:p>
      <w:r>
        <w:rPr>
          <w:b/>
        </w:rPr>
        <w:t>E. 6.3</w:t>
      </w:r>
    </w:p>
    <w:p>
      <w:r>
        <w:t>Demgegenüber machte der Beschwerdeführer in seiner Beschwerde im Wesentlichen geltend, die Ausführungen der Vorinstanz zur Inhaftierung im Jahr 2011 und zu den Ereignissen ausserhalb Eritreas seien zutreffend. Auch habe er an der Erstbefragung vergessen, die Vorladung zum Militärdienst zu erwähnen. Indessen habe das SEM in Verletzung des Untersuchungsgrundsatzes und der Begründungspflicht subjektive Nachfluchtgründe (Stellen eines Asylgesuches und illegale Ausreise) nahezu ungeprüft und ungewürdigt gelassen. Gemäss ständiger Rechtsprechung des Bundesverwaltungsgerichts sei das Vorliegen subjektiver Nachfluchtgründe in Bezug auf illegal aus Eritrea ausgereiste eritreische Staatsangehörige zu bejahen. Da der Beschwerdeführer Eritrea - entgegen der Auffassung des SEM - klar illegal verlassen habe, drohe ihm in seinem Heimatstaat eine verbotene Strafe gemäss Art. 3 AsylG. In vergleichbaren Fällen sei vom SEM regelmässig festgestellt worden, dass die Rückkehr nach Eritrea unzulässig sei, weshalb stets die Flüchtlingseigenschaft festgestellt werde. Es seien keine sachlichen Gründe für eine rechtsungleiche Behandlung ersichtlich. Der Beschwerdeführer habe seine Flüchtlingseigenschaft nachgewiesen, zumindest aber glaubhaft gemacht, weshalb er als Flüchtling anzuerkennen sei. In diesem Sinne sei auch das mit Schreiben vom 10. Dezember 2015 im Original eingereichte Beweismittel zu verstehen, in welchem der Vater des Beschwerdeführers aufgrund der Flucht aufgefordert werde, einen Geldbetrag von ERN 50 000.- im Büro des Verwaltungskreises zu bezahlen.</w:t>
      </w:r>
    </w:p>
    <w:p>
      <w:r>
        <w:rPr>
          <w:b/>
        </w:rPr>
        <w:t>E. 7</w:t>
      </w:r>
    </w:p>
    <w:p>
      <w:r>
        <w:t>Da die Beurteilung des SEM bezüglich der Vorfluchtgründe vom Beschwerdeführer nicht in Zweifel gezogen wird - und aus den Akten auch keine Anhaltspunkte für eine unzutreffende Würdigung ersichtlich sind -, beschränkt sich die nachfolgende Prüfung einzig auf die Frage, ob das SEM das Vorliegen von subjektiven Nachfluchtgründen zu Recht verneint hat.</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7.2</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7.3</w:t>
      </w:r>
    </w:p>
    <w:p>
      <w:r>
        <w:t>Im Falle des Beschwerdeführers ist das Vorliegen solcher zusätzlicher Faktoren zu verneinen. Bezüglich der Aussagen im Zusammenhang mit dem Behördenkontakt beziehungsweise der vorgebrachten Vorfluchtgründe kann vollumfänglich auf die Ausführungen des SEM verwiesen werden. Der rechtserhebliche Sachverhalt ist sowohl in individueller Hinsicht als auch in Bezug auf die Frage der geltend gemachten illegalen Ausreise im Allgemeinen hinreichend erstellt. Unter Hinweis auf das bereits erwähnte Referenzurteil kann im Weiteren auf eine eingehende Glaubhaftigkeitsbeurteilung der illegalen Ausreise des Beschwerdeführers verzichtet werden. Entsprechend erübrigen sich Ausführungen zu der diesbezüglichen Kritik in der Beschwerdeschrift, ebenso zu dem auf Beschwerdeebene eingereichten Beweismittel.</w:t>
      </w:r>
    </w:p>
    <w:p>
      <w:r>
        <w:rPr>
          <w:b/>
        </w:rPr>
        <w:t>E. 7.4</w:t>
      </w:r>
    </w:p>
    <w:p>
      <w:r>
        <w:t>Zusammenfassend kann somit festgehalten werden, dass keine asylrechtlich relevanten Verfolgungsgründe im Sinne von Art. 3 respektive von Art. 54 AsylG ersichtlich sind, weshalb die Vorinstanz zu Recht die Flüchtlingseigenschaft verneint und das Asylgesuch abgelehnt hat.</w:t>
      </w:r>
    </w:p>
    <w:p>
      <w:r>
        <w:rPr>
          <w:b/>
        </w:rPr>
        <w:t>E. 8.1</w:t>
      </w:r>
    </w:p>
    <w:p>
      <w:r>
        <w:t>Aus diesen Erwägungen ergibt sich, dass die angefochtene Verfügung Bundesrecht nicht verletzt und den rechtserheblichen Sachverhalt richtig sowie vollständig feststellt (Art. 106 Abs. 1 AsylG). Die Beschwerde ist abzuweisen.</w:t>
      </w:r>
    </w:p>
    <w:p>
      <w:r>
        <w:rPr>
          <w:b/>
        </w:rPr>
        <w:t>E. 8.2</w:t>
      </w:r>
    </w:p>
    <w:p>
      <w:r>
        <w:t>Die von der Vorinstanz wegen Unzumutbarkeit des Vollzugs verfügte vorläufige Aufnahme bleibt dadurch jedoch unberührt.</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10. August 2015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