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D-4722/2020 vom 8. September 2020</w:t>
      </w:r>
    </w:p>
    <w:p>
      <w:r>
        <w:t>Bundesverwaltungsgericht, 2020-09-08, DE</w:t>
      </w:r>
    </w:p>
    <w:p>
      <w:r>
        <w:rPr>
          <w:b/>
        </w:rPr>
        <w:t xml:space="preserve">Quelle: </w:t>
      </w:r>
      <w:r>
        <w:t>https://mcp.opencaselaw.ch/entscheid/bvger_D-4722_2020_d20200908</w:t>
      </w:r>
    </w:p>
    <w:p>
      <w:r>
        <w:t>FR: TAF D-4722/2020 du 8 septembre 2020</w:t>
      </w:r>
    </w:p>
    <w:p>
      <w:r>
        <w:t>IT: TAF D-4722/2020 del 8 settembre 2020</w:t>
      </w:r>
    </w:p>
    <w:p>
      <w:pPr>
        <w:pStyle w:val="Heading2"/>
      </w:pPr>
      <w:r>
        <w:t>Regeste</w:t>
      </w:r>
    </w:p>
    <w:p>
      <w:r>
        <w:t>Nichteintreten auf Asylgesuch und Wegweisung (Mehrfachgesuch) | Nichteintreten auf Asylgesuch (erneutes Asylverfahren Schweiz) und Wegweisung; Verfügung des SEM vom 8.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einen Schriftenwechsel verzichtet.</w:t>
      </w:r>
    </w:p>
    <w:p>
      <w:r>
        <w:rPr>
          <w:b/>
        </w:rPr>
        <w:t>E. 3.1</w:t>
      </w:r>
    </w:p>
    <w:p>
      <w:r>
        <w:t>Mit Zwischenverfügung vom 2. Oktober 2020 wurde der Spruchkörper – vorbehältlich allfälliger Änderungen durch Wechsel, wie vorliegend der Gerichtsschreiberin – bereits bekannt gegeben. Mit dem vorliegenden Ur- teilsspruch wird der diesbezügliche Antrag ohnehin gegenstandslos.</w:t>
      </w:r>
    </w:p>
    <w:p>
      <w:r>
        <w:rPr>
          <w:b/>
        </w:rPr>
        <w:t>E. 3.2</w:t>
      </w:r>
    </w:p>
    <w:p>
      <w:r>
        <w:t>Hinsichtlich der Bildung des Spruchkörpers kann dem Beschwerdefüh- rer mitgeteilt werden, dass diese mit Hilfe eines EDV-basierten Zuteilungs- systems erfolgte und keine manuellen Ergänzungen notwendig waren.</w:t>
      </w:r>
    </w:p>
    <w:p>
      <w:r>
        <w:t>D-4722/2020 Seite 5</w:t>
      </w:r>
    </w:p>
    <w:p>
      <w:r>
        <w:rPr>
          <w:b/>
        </w:rPr>
        <w:t>E. 3.3</w:t>
      </w:r>
    </w:p>
    <w:p>
      <w:r>
        <w:t>Die Dokumente betreffend die Spruchkörperbildung unterstehen nicht der Akteneinsicht (vgl. BVGE 2022 I/2 E. 4.5.4). Der entsprechende Antrag auf Einsicht in die Datei der Software ist abzuweisen.</w:t>
      </w:r>
    </w:p>
    <w:p>
      <w:r>
        <w:rPr>
          <w:b/>
        </w:rPr>
        <w:t>E. 3.4</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BVGE 2022 I/2 E. 4.4).</w:t>
      </w:r>
    </w:p>
    <w:p>
      <w:r>
        <w:rPr>
          <w:b/>
        </w:rPr>
        <w:t>E. 4</w:t>
      </w:r>
    </w:p>
    <w:p>
      <w:r>
        <w:t>Prüfungsgegenstand ist im vorliegenden Verfahren die Frage, ob die Vorinstanz gemäss Art. 111c Abs. 1 Satz 1 AsylG zu Recht auf das neue Asylgesuch des Beschwerdeführers nicht eingetreten ist. Die Beschwer- deinstanz enthält sich – sofern sie den Nichteintretensentscheid als un- rechtmässig erachtet – einer selbständigen materiellen Prüfung; sie hebt die angefochtene Verfügung auf und weist die Sache zu neuer Entschei- dung an die Vorinstanz zurück (vgl. BVGE 2007/8 E. 2.1 m.w.H.). Die Frage der Wegweisung und des Vollzugs der Wegweisung ist jedoch materiell zu prüfen.</w:t>
      </w:r>
    </w:p>
    <w:p>
      <w:r>
        <w:rPr>
          <w:b/>
        </w:rPr>
        <w:t>E. 4.1</w:t>
      </w:r>
    </w:p>
    <w:p>
      <w:r>
        <w:t>In der Beschwerde werden formelle Rügen erhoben. Diese sind vorab zu beurteilen, da sie gegebenenfalls geeignet sind, eine Kassation der vo- rin- stanzlichen Verfügung zu bewirken.</w:t>
      </w:r>
    </w:p>
    <w:p>
      <w:r>
        <w:rPr>
          <w:b/>
        </w:rPr>
        <w:t>E. 4.2</w:t>
      </w:r>
    </w:p>
    <w:p>
      <w:r>
        <w:t>In der Beschwerdeschrift wird zunächst ausgeführt, das SEM habe das Recht falsch angewandt (schikanös und willkürlich), sei durch die materi- elle Behandlung faktisch auf das Asylgesuch eingetreten, weshalb die An- weisung an das SEM zur richtigen Rechtsanwendung beantragt werde (Be- schwerde, S. 17). Alsdann habe das SEM den Anspruch auf rechtliches Gehör, insbesondere die Begründungspflicht verletzt und den Sachverhalt unvollständig und unrichtig abgeklärt.</w:t>
      </w:r>
    </w:p>
    <w:p>
      <w:r>
        <w:rPr>
          <w:b/>
        </w:rPr>
        <w:t>E. 4.3</w:t>
      </w:r>
    </w:p>
    <w:p>
      <w:r>
        <w:t>Vorliegend liegt weder eine Verletzung der Begründungspflicht (vgl. BVGE 2016/9 E. 5.1) noch eine unrichtige oder unvollständige Sachver- haltsfeststellung (vgl. BVGE 2016/2 E. 4.3) vor. Das SEM hat in seiner Ver- fügung den sich aufgrund der Eingabe vom 14. August 2019 ergebenden Sachverhalt vollständig und richtig festgestellt, und es hat darin hinrei- chend dargelegt, wieso es das Mehrfachgesuch für unzureichend begrün- det (vgl. auch nachstehend E. 5.1) und den Wegweisungsvollzug für zuläs- sig, zumutbar und möglich erachtet. Hierfür hat es – entgegen der Behaup- tung des Beschwerdeführers – die Sache nicht materiell behandelt.</w:t>
      </w:r>
    </w:p>
    <w:p>
      <w:r>
        <w:t>D-4722/2020 Seite 6</w:t>
      </w:r>
    </w:p>
    <w:p>
      <w:r>
        <w:rPr>
          <w:b/>
        </w:rPr>
        <w:t>E. 4.4</w:t>
      </w:r>
    </w:p>
    <w:p>
      <w:r>
        <w:t>Die Vorinstanz war nicht verpflichtet, den Beschwerdeführer erneut an- zuhören (vgl. Art. 111c AsylG). Mit der Einreichung eines schriftlichen Asyl- gesuchs wird das rechtliche Gehör in der Regel wahrgenommen (vgl. BVGE 2009/53 E. 5). Der anwaltlich vertretene Beschwerdeführer konnte seine neuen Vorbringen im Gesuch und in der Beschwerdeschrift ausführ- lich darlegen.</w:t>
      </w:r>
    </w:p>
    <w:p>
      <w:r>
        <w:rPr>
          <w:b/>
        </w:rPr>
        <w:t>E. 4.5</w:t>
      </w:r>
    </w:p>
    <w:p>
      <w:r>
        <w:t>Der blosse Umstand, dass der Beschwerdeführer die Auffassung des SEM nicht teilt, stellt keine Verletzung der Begründungspflicht dar, sondern betrifft eine materielle Frage. Dies gilt ebenso für die Ausführungen in der Beschwerde unter dem Titel der unvollständigen Sachverhaltsfeststellung. Diese richten sich nicht gegen die Sachverhaltsfeststellungen der Vo- rinstanz, sondern gegen die entsprechende Beweiswürdigung und die rechtliche Würdigung der Vorbringen. Alleine der Umstand, dass die Vo- rinstanz in ihrer Länderpraxis zu Sri Lanka einer anderen Linie folgt, als vom Beschwerdeführer vertreten, und sie aus sachlichen Gründen auch zu einer anderen Würdigung der Vorbringen gelangt, als vom Beschwerdefüh- rer verlangt, spricht nicht für eine ungenügende Sachverhaltsfeststellung.</w:t>
      </w:r>
    </w:p>
    <w:p>
      <w:r>
        <w:t>Schliesslich zeigt die ausführliche Beschwerdeeingabe deutlich auf, dass eine sachgerechte Anfechtung des Entscheids der Vorinstanz ohne weite- res möglich war.</w:t>
      </w:r>
    </w:p>
    <w:p>
      <w:r>
        <w:rPr>
          <w:b/>
        </w:rPr>
        <w:t>E. 4.6</w:t>
      </w:r>
    </w:p>
    <w:p>
      <w:r>
        <w:t>Der Antrag auf Abklärung des Gesundheitszustandes respektive Frist- ansetzung zur Einreichung eines Arztberichts ist abzuweisen, zumal bis zum Entscheiddatum hinreichend Gelegenheit dazu bestanden hat, die be- haupteten medizinischen Probleme mittels Arztberichte zu untermauern respektive zu substanziieren, was der Beschwerdeführer bisher unterlas- sen hat.</w:t>
      </w:r>
    </w:p>
    <w:p>
      <w:r>
        <w:rPr>
          <w:b/>
        </w:rPr>
        <w:t>E. 4.7</w:t>
      </w:r>
    </w:p>
    <w:p>
      <w:r>
        <w:t>Der Beschwerdeführer rügt eine Verletzung des Willkürverbots auf- grund einer unterlassenen Würdigung der Gesamtheit der Vorbringen. Das SEM unterteile den vorgetragenen Sachverhalt in zwei Teile. Auf einen Teil des Sachverhaltes trete es nicht ein, ein anderer Teil wiederum werde ma- teriell behandelt. Dieses Auseinanderreissen des zu prüfenden Sachver- haltes aufgrund formeller Überlegungen berge die Gefahr einer Fehlent- scheidung. Die Vorinstanz qualifizierte die Vorbringen des Beschwerdeführers und seine neu eingereichten Beweismittel in Anwendung der massgebenden</w:t>
      </w:r>
    </w:p>
    <w:p>
      <w:r>
        <w:t>D-4722/2020 Seite 7 Gesetzesbestimmungen über ausserordentliche Rechtsmittel und Mehr- fachgesuche (vgl. Art. 111b und 111c AsylG, Art. 66 VwVG, Art. 45 VGG i.V.m. Art. 121 BGG, Art. 45 VGG i.V.m. Art. 121 ff. BGG) zu Recht als Mehrfachgesuch. Erhöhte Formerfordernisse sind im Rahmen von ausser- ordentlichen Rechtsmitteln zulässig respektive vom Gesetzgeber aus- drücklich gewollt (vgl. BVGE 2014/39 E. 4.5). Es liegt somit eine in jeder Hinsicht korrekte Rechtsanwendung vor, weshalb eine Verletzung des Will- kürverbots ausgeschlossen und der Antrag auf Anweisung an das SEM zur richtigen Rechtsanwendung abzuweisen ist. Das SEM ist zu Recht und mit zutreffender Begründung auf die Vorbringen betreffend die geltend gemachten Behördenprobleme und die vorgebrach- ten LTTE-Verbindungen von Verwandten, die geltend gemachte Verhaf- tung des Vaters 1999, welche sich hauptsächlich auf Dokumente stützen, die vor dem 17. August 2018 entstanden sind, sowie auf die Behördenbe- suche und die sri-lankische Lageentwicklung nicht eingetreten. Dabei hat es auch ausreichend dargelegt, weshalb die eingereichten Dokumente nichts an der ungenügenden Begründung des Mehrfachgesuches ändern. Der Einwand auf Beschwerdeebene, dass das SEM durch sein Vorgehen eine Gesamtprüfung vereitle, ist unbegründet.</w:t>
      </w:r>
    </w:p>
    <w:p>
      <w:r>
        <w:rPr>
          <w:b/>
        </w:rPr>
        <w:t>E. 4.8</w:t>
      </w:r>
    </w:p>
    <w:p>
      <w:r>
        <w:t>Die formellen Rügen erweisen sich aufgrund dieser Sachlage als un- begründet, weshalb keine Veranlassung besteht, die Sache aus formellen Gründen aufzuheben und an die Vorinstanz zurückzuweisen. Das diesbe- zügliche (Haupt-) Rechtsbegehren ist somit abzuweisen.</w:t>
      </w:r>
    </w:p>
    <w:p>
      <w:r>
        <w:rPr>
          <w:b/>
        </w:rPr>
        <w:t>E. 5.1</w:t>
      </w:r>
    </w:p>
    <w:p>
      <w:r>
        <w:t>In der angefochtenen Verfügung hielt das SEM fest, dass sich die gel- tend gemachten Vorbringen (Verbindungen von Verwandten zu den LTTE, Verhaftung Vater 1999, Behördenbesuche bei der Familie) nach dem Ent- scheid vom 17. August 2018 und damit nach Abschluss des ordentlichen Asylverfahrens ereignet hätten. Ebenso seien die eingereichten Beweis- mittel vor Erlass der ursprünglichen Verfügung entstanden (Kopien Ge- burtszertifikat, Schulausweis, Anzeige betreffend Verhaftung) oder ohne Beweiswert und zur Begründung der Vorbringen untauglich. So weise die vom Oktober 2018 ausgestellte Residenzbestätigung keinerlei fälschungs- sichere Merkmale auf und sei als Gefälligkeitsschreiben zu werten. Eine erhöhte, flüchtlingsrechtlich relevante Verfolgungsempfindlichkeit im Sinne von BVGer Urteil D-4543/2013 E. 5.7 vom 22. November 2017 sei mit dem schwer leserlichen, sri-lankischen Arztbericht vom 18. Oktober 2018, der trotz Ausreise (gemäss ordentlichem Asylverfahren) im Mai 2014 den</w:t>
      </w:r>
    </w:p>
    <w:p>
      <w:r>
        <w:t>D-4722/2020 Seite 8 Eindruck einer Behandlungsdauer von 2012 bis 2018 erwecke und einzig pauschal «suffering from nervous weakness» angebe, nicht genügend be- gründet. Im Weiteren weise der Beschwerdeführer keinen persönlichen Be- zug zu den vorgebrachten Anschlägen vom 21. April 2019 oder den weite- ren geltend gemachten Ereignissen in Sri Lanka auf oder würde dessen verdächtigt. Einerseits vermöge eine bloss abstrakte Angst vor verschärf- ten behördlichen Massnahmen die Anforderungen an die Annahme einer begründeten Verfolgungsfurcht nicht zu erfüllen, andererseits gehe aus seiner Eingabe nicht hervor, dass sich die allgemeine Lage in Sri Lanka seit Erlass des Asylentscheides vom 17. August 2018 in einer Art und Weise verändert hätte, die sich konkret in negativer Weise auf seine per- sönliche Situation auswirken würde. Seine Vorbringen bestünden im We- sentlichen aus bereits bekannten Sachverhaltselementen, welche im or- dentlichen Asylverfahren als nicht glaubhaft beziehungsweise nicht asylre- levant erachtet worden.seien Seine erneute Zuordnung zu einer Risiko- gruppe und eine damit verbundene asylrelevante Gefährdung sei bereits mit Entscheid vom 17. August 2018 verneint worden. Es habe alsdann nach der Präsidentschaftswahl von Gotabaya Rajapaksa weder Anlass zur Annahme einer kollektiven Verfolgungsgefahr für Volks- oder Berufsgrup- pen gegeben, noch eine individuelle solche für ihn (keine Hinweise auf eine Verschärfung seiner persönlichen Situation).</w:t>
      </w:r>
    </w:p>
    <w:p>
      <w:r>
        <w:rPr>
          <w:b/>
        </w:rPr>
        <w:t>E. 5.2</w:t>
      </w:r>
    </w:p>
    <w:p>
      <w:r>
        <w:t>In der Beschwerde wird ausgeführt, die neusten Entwicklungen, welche im Mehrfachgesuch ausführlich dargelegt und dokumentiert worden seien, hätten zu einer markanten Erhöhung der Gefährdungslage für zurückkeh- rende abgewiesene Asylgesuchsteller geführt und würden folglich einen objektiven Nachfluchtgrund darstellen. Der Beschwerdeführer sei wegen seines Profils vor dem Hintergrund der veränderten Lage asylrelevant ge- fährdet.</w:t>
      </w:r>
    </w:p>
    <w:p>
      <w:r>
        <w:rPr>
          <w:b/>
        </w:rPr>
        <w:t>E. 6.1</w:t>
      </w:r>
    </w:p>
    <w:p>
      <w:r>
        <w:t>Das zentrale Beschwerdevorbringen, dass im Mehrfachgesuch ein per- sönlicher Fallbezug zur aktuellen Lage in Sri Lanka dargelegt worden sei, weshalb das Gesuch nicht als unbegründet gelten dürfe, ist nicht stichhal- tig. So werden im neuen Gesuch vom 14. August 2019 und in der vorlie- genden Beschwerde in geraffter Form Sachverhaltselemente dargelegt, die bereits im ordentlichen Asylverfahren als nicht glaubhaft respektive nicht asylrelevant erachtet worden sind. Daraus wird alsdann kurzerhand und ohne weitere Subsumption – einzig mit Hinweisen auf öffentlich zu- gängliche Berichte zur Situation in Sri Lanka – der Schluss gezogen, der Beschwerdeführer sei aufgrund seines Profils gleich mehreren</w:t>
      </w:r>
    </w:p>
    <w:p>
      <w:r>
        <w:t>D-4722/2020 Seite 9 Risikogruppen zuzuordnen, obwohl bereits mit rechtskräftiger Verfügung vom 17. August 2018 festgestellt wurde, dass er keiner asylrelevanten Ge- fährdung ausgesetzt sei, auch nicht hinsichtlich exilpolitischer Tätigkeiten (Teilnahmen an Demonstrationen). Demnach hat das SEM in zutreffender Weise das Erfordernis einer ausreichenden Begründung im Sinne von Art. 111c Abs. 1 AsylG als nicht erfüllt erachtet und ist zu Recht in Anwen- dung von Art. 13 Abs. 2 VwVG auf das Gesuch nicht eingetreten (vgl. zum Nichteintretensgrund der mangelhaften Begründung BVGE 2014/39 E. 7).</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w:t>
      </w:r>
    </w:p>
    <w:p>
      <w:r>
        <w:t>D-4722/2020 Seite 10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9.1</w:t>
      </w:r>
    </w:p>
    <w:p>
      <w:r>
        <w:t>Da der Beschwerdeführer die Flüchtlingseigenschaft nicht erfüllt, ist das flüchtlingsrechtliche Rückschiebungsverbot von Art. 33 Abs. 1 des Ab- kommens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w:t>
      </w:r>
    </w:p>
    <w:p>
      <w:r>
        <w:t>Die Vorinstanz hielt zutreffend fest, dass die allgemeine Menschenrechts- situation in Sri Lanka den Wegweisungsvollzug – auch mit Blick auf die in der Beschwerde zitierten Berichte – nicht als unzulässig erscheinen lässt. Auch der Europäische Gerichtshof für Menschenrechte (EGMR) hat wie- derholt festgestellt, dass nicht generell davon auszugehen sei, Rückkeh- rern drohe in Sri Lanka eine unmenschliche Behandlung. Eine Risikoein- schätzung müsse im Einzelfall vorgenommen werden (Urteil des EGMR R.J. gegen Frankreich vom 19. September 2013, 10466/11, Ziff. 37). An dieser Einschätzung vermögen die politischen Entwicklungen insbeson- dere im Umfeld der Kommunalwahlen vom Februar 2018 (vgl. Urteil des BVGer D-5880/2018 vom 12. Februar 2019 E. 11.2.2), die Ende 2019 er- folgten Präsidentschaftswahlen sowie die Parlamentswahlen vom August 2020 nichts Grundlegendes zu ändern. Dasselbe gilt für die Ereignisse im Zusammenhang mit Rücktritten von Regierungsmitgliedern (einschliesslich des Präsidenten und des Premierministers; vgl. BVGer Urteil E-1473/2020 vom 9. August 2022 E.11.2). Weder aus den Beschwerdeausführungen noch aus den Akten ergeben sich konkrete Anhaltspunkte dafür, dass der Beschwerdeführer für den Fall einer Ausschaffung nach Sri Lanka dort mit beachtlicher Wahrscheinlich- keit einer nach EMRK oder FoK verbotenen Strafe oder Behandlung aus- gesetzt wäre. So weist der Beschwerdeführer kein Profil auf, das auf die</w:t>
      </w:r>
    </w:p>
    <w:p>
      <w:r>
        <w:t>D-4722/2020 Seite 11 Gefahr hindeutet, zukünftig staatlichen Verfolgungsmassnahmen ausge- setzt zu sein. Es sind entgegen der Behauptung in der Beschwerde keine Anhaltspunkte ersichtlich, nach denen der Beschwerdeführer Massnah- men zu befürchten hätte, die – wenn überhaupt – über einen sogenannten background check (Befragung und Überprüfung von Tätigkeiten im In- und Ausland) hinausgingen, oder dass ihm persönlich im Falle einer Rückkehr eine Gefährdung drohen würde.</w:t>
      </w:r>
    </w:p>
    <w:p>
      <w:r>
        <w:rPr>
          <w:b/>
        </w:rPr>
        <w:t>E. 9.2</w:t>
      </w:r>
    </w:p>
    <w:p>
      <w:r>
        <w:t>Mit rechtskräftiger Verfügung vom 17. August 2018 wurde der Vollzug der Wegweisung letztmals für zumutbar befunden. An dieser Einschätzung vermögen die aktuellen Ereignisse in Sri Lanka nichts zu ändern. Andere Gründe, welche gegen die Zumutbarkeit sprechen würden, wurden weder substanziiert geltend gemacht noch sind sie aus den Akten ersichtlich (vgl. auch vorstehend E. 4.6 hinsichtlich Gesundheitssituation).</w:t>
      </w:r>
    </w:p>
    <w:p>
      <w:r>
        <w:rPr>
          <w:b/>
        </w:rPr>
        <w:t>E. 9.3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 schwerdeführer aufzuerlegen (Art. 63 Abs. 1 VwVG). Da ihm jedoch mit Zwischenverfügung vom 20. Oktober 2020 die unentgeltliche Prozessfüh- rung gewährt wurde, sind ihm keine Verfahrenskosten aufzuerlegen. (Dispositiv nächste Seite)</w:t>
      </w:r>
    </w:p>
    <w:p>
      <w:r>
        <w:t>D-4722/2020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