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D-4721/2016 vom 26. Mai 2017</w:t>
      </w:r>
    </w:p>
    <w:p>
      <w:r>
        <w:t>Bundesverwaltungsgericht, 2017-05-26, DE</w:t>
      </w:r>
    </w:p>
    <w:p>
      <w:r>
        <w:rPr>
          <w:b/>
        </w:rPr>
        <w:t xml:space="preserve">Quelle: </w:t>
      </w:r>
      <w:r>
        <w:t>https://mcp.opencaselaw.ch/entscheid/bvger_D-4721_2016</w:t>
      </w:r>
    </w:p>
    <w:p>
      <w:r>
        <w:t>FR: TAF D-4721/2016 du 26 mai 2017</w:t>
      </w:r>
    </w:p>
    <w:p>
      <w:r>
        <w:t>IT: TAF D-4721/2016 del 26 maggio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6 AsylG in Verbindung mit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 Die Behörde ist dabei jedoch nicht verpflichtet, zu jedem Sachverhaltselement umfangreiche Nachforschungen anzustellen. Zusätzliche Abklärungen sind vielmehr nur dann vorzunehmen, wenn sie aufgrund der Aktenlage als angezeigt erscheinen (vgl. dazu Christoph Auer, in: Auer/Müller/Schindler [Hrsg.], Kommentar zum Bundesgesetz über das Verwaltungsverfahren [VwVG], Zürich 2008, Rz. 15 zu Art. 12; Benjamin Schindler, in: Auer/Mülller/Schindler [Hrsg.], a.a.O., Rz. 28 zu Art. 49). Alle erheblichen Parteivorbringen sind sodann zu prüfen und zu würdigen (vgl. Art. 29 Abs. 2 BV; Art. 35 Abs. 1 VwVG), wobei sich das Ergebnis der Würdigung in der Entscheidbegründung niederzuschlagen hat (vgl. Art. 35 VwVG). Nach den von Lehre und Praxis entwickelten Grundsätzen hat die verfügende Behörde im Rahmen der Entscheidbegründung die Überlegungen zu nennen, von denen sie sich leiten liess und auf die sich ihr Entscheid stützt. Die Begründung des Entscheides muss so abgefasst sein, dass die Betroffenen ihn gegebenenfalls sachgerecht anfechten können. Die Behörde muss sich jedoch nicht mit jeder tatbeständlichen Behauptung auseinandersetzen, sondern kann sich auf die für den Entscheid wesentlichen Gesichtspunkte beschränken. Mit der Pflicht zu Offenlegung der Entscheidgründe kann zudem in der Regel verhindert werden, dass sich die Behörde von unsachgemässen Motiven leiten lässt.</w:t>
      </w:r>
    </w:p>
    <w:p>
      <w:r>
        <w:rPr>
          <w:b/>
        </w:rPr>
        <w:t>E. 3.2</w:t>
      </w:r>
    </w:p>
    <w:p>
      <w:r>
        <w:t>Der Beschwerdeführer rügt, die Erwägungen des SEM zu seiner Gesundheit verletzten die Untersuchungs- und Begründungspflicht. Diese Einschätzung erweist sich aber nur allenfalls im Ansatz als berechtigt. So ist die Feststellung des SEM, er sei bei guter Gesundheit, in Anbetracht der bereits damals aktenkundigen Operation wegen des (...) und einer allfälligen Fortsetzung der Behandlung doch eher fragwürdig (vgl. Arztbericht vom 1. Februar 2016). Allerdings relativierte die Vorinstanz in den Folgesätzen diese Feststellung, thematisierte die geltend gemachten medizinischen Probleme mit den (...) und hielt insbesondere fest, es handle sich dabei nicht um eine lebensbedrohliche Krankheit, weshalb auch in dieser Hinsicht kein Vollzugshindernis bestehe. Entgegen der Beschwerdeargumentation gab die Vorinstanz demnach durchaus eine Antwort darauf, wie der Vollzug der Wegweisung mit der Fortführung der eingeleiteten Behandlung korrespondieren solle, indem es eine allfällige Fortsetzung der Behandlung vor Ort für nicht entscheidrelevant erachtete. Anzufügen ist, dass sich der jetzt eingereichte ärztliche Bericht vom 20. Juli 2016 noch nicht bei den Akten befand. Ferner trifft zu, dass das SEM die Clanzugehörigkeit im Sachverhalt richtig erfasste, im Erwägungsteil aber mit Verweisen auf Protokollstellen, welche den vorliegenden Akten so nicht entnommen werden können, offenbar eine redaktionelle Unsorgfältigkeit beging. Andererseits hielt das SEM im Asylpunkt fest, der Beschwerdeführer habe korrekte und vollständige Angaben zur Clanzugehörigkeit - demnach B._______ - gemacht, und ging offenbar von der geltend gemachten und nicht der im Vollzugspunkt plötzlich aufgeführten Zugehörigkeit aus. Im Weiteren wurde vorliegend ein Schriftenwechsel durchgeführt, in welchem das SEM insbesondere seine Erwägungen zur Gesundheit des Beschwerdeführers nochmals verdeutlichte. Im Rahmen der Replik konnte er dazu Stellung nehmen Vor diesem Hintergrund ist von einer Heilung allfällig verletzter Gehörsansprüche auszugehen, und die Rückweisung der Sache an das SEM erübrigt sich.</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(Art. 7 Abs. 1 und 2 AsylG). Vorbringen sind dann glaubhaft, wenn sie genügend substanziiert, in sich schlüssig und plausibel sind; sie dürfen sich nicht in vagen Schilderungen erschöpfen oder den Tatsachen oder der allgemeinen Erfahrung widersprechen und sie dürfen nicht widersprüchlich sein oder der inneren Logik entbehren. Darüber hinaus muss die asylsuchende Person persönlich glaubwürdig erscheinen, was insbesondere dann nicht der Fall ist, wenn sie ihre Vorbringen auf gefälschte oder verfälschte Beweismittel abstützt (Art. 7 Abs. 3 AsylG),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durchaus Raum für gewisse Einwände und Zweifel an den Vorbringen des Beschwerdeführers.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BVGE 2013/11 E. 5.1).</w:t>
      </w:r>
    </w:p>
    <w:p>
      <w:r>
        <w:rPr>
          <w:b/>
        </w:rPr>
        <w:t>E. 4.3</w:t>
      </w:r>
    </w:p>
    <w:p>
      <w:r>
        <w:t>Der Beschwerdeführer macht geltend, die Anhörungsprotokolle wiesen Mängel in sprachlicher Hinsicht auf. Relevante Mängel sind aber schon insofern nicht zu erkennen, als er jeweils angab, den Dolmetscher gut zu verstehen, und unterschriftlich die Korrektheit der Protokolle bestätigte. Entsprechend muss er sich auf seine Aussagen behaften lassen. Im Weiteren wurde seinen psychischen Befindlichkeiten wiederholt Rechnung getragen und die erste Anhörung abgebrochen. Dass er bei der Fortsetzung der Anhörung in unzulässiger Weise unter Druck gesetzt worden wäre, ist als unzutreffend zu bezeichnen. Vielmehr wurde ihm ausführlich dargelegt, welche Verfahrensmöglichkeiten verbunden mit welchen Konsequenzen bestehen würden. Das Protokoll vom 1. April 2016 erscheint mithin auch in Berücksichtigung seiner offensichtlich angespannten psychischen Situation als vollumfänglich verwertbar. Hingegen ist im Sinne der Beschwerdevorbringen einzuräumen, dass die erste Anhörung wegen des neu geltend gemachten sexuellen Vorfalls abgebrochen wurde und gleichwohl festgehaltene Aussagen im Zusammenhang mit der deswegen vorgebrachten Verfolgung bei der Würdigung der Glaubhaftigkeit nur bedingt beigezogen werden können. Ein solcher Beizug ist aber gemäss nachstehenden Ausführungen ohnehin nicht erforderlich.</w:t>
      </w:r>
    </w:p>
    <w:p>
      <w:r>
        <w:rPr>
          <w:b/>
        </w:rPr>
        <w:t>E. 4.4</w:t>
      </w:r>
    </w:p>
    <w:p>
      <w:r>
        <w:t>Das SEM bezeichnet die geltend gemachte Vergewaltigung verbunden mit drohenden Racheakten als nachgeschoben. Diese Einschätzung überzeugt. Es mag zwar zutreffen, dass Opfer von sexueller Gewalt - auch wegen der Zusammensetzung des Teams bei der BzP - mitunter Mühe bekunden, das Erlittene bereits zu diesem Zeitpunkt zu formulieren, zumal sie traumatisiert sind. Eine solche Traumatisierung ist beim Beschwerdeführer aber schon mangels eines entsprechend eingereichten psychiatrischen Berichts in keiner Weise belegt. Vielmehr ist zu berücksichtigen, dass er gemäss seinen Schilderungen als Täter und nicht als Opfer in Erscheinung trat, weshalb die Verspätung des Vorbringens entgegen den Beschwerdevorbringen auf mutmasslich asyltaktische Gründe zurückzuführen ist. Beeinträchtigt wird die Glaubhaftigkeit sodann auch dadurch, dass er im Rahmen der Anhörung vom 1. April 2016 zwar mit Realkennzeichen versehene Aussagen zu seinen gesundheitlichen Empfindungen, nicht aber zur Vergewaltigung und deren Folgen machte (vgl. A 23/16 Antworten 5 und 28 ff.). Namentlich die erlittene beziehungsweise drohende Verfolgung schilderte er ausgesprochen stereotyp beziehungsweise unsubstanziiert und vermochte so nicht den Eindruck von tatsächlich Erlebtem oder Befürchtetem zu vermitteln (vgl. a.a.O. Antworten 46 ff.). Überzeugende Beschwerdeargumente für eine andere Sichtweise fehlen wiederum. Es ist demzufolge von einem blossen Verfolgungskonstrukt auszugehen. Im Weiteren sind die generellen Vorbringen des Beschwerdeführers zu seiner Situation im Heimatland zutreffend als nicht asylrelevant gewürdigt worden.</w:t>
      </w:r>
    </w:p>
    <w:p>
      <w:r>
        <w:rPr>
          <w:b/>
        </w:rPr>
        <w:t>E. 4.5</w:t>
      </w:r>
    </w:p>
    <w:p>
      <w:r>
        <w:t>Unter Berücksichtigung der gesamten Umstände folgt, dass der Beschwerdeführer keine Gründe nach Art. 3 AsylG nachweisen oder glaubhaft machen konnte. Die Beschwerdevorbringen und Beweismittel rechtfertigen keine andere Einschätzung. Die Vorinstanz hat die Flüchtlingseigenschaft zu Recht verneint und das Asylgesuch abgelehnt.</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Herkunftsgebiet des Heimatstaats lässt den Wegweisungsvollzug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6.5.1</w:t>
      </w:r>
    </w:p>
    <w:p>
      <w:r>
        <w:t>Das Bundesverwaltungsgerichts geht in seiner Praxis davon aus, dass der Vollzug von Wegweisungen in den zentralen und südlichen Teil von Somalia grundsätzlich unzumutbar ist, ein solcher jedoch unter Umständen in die nördlichen Landesteile (Somaliland und Puntland) erfolgen kann (vgl. BVGE 2014/27 E. 6.5 m.w.H.).</w:t>
      </w:r>
    </w:p>
    <w:p>
      <w:r>
        <w:rPr>
          <w:b/>
        </w:rPr>
        <w:t>E. 6.5.2</w:t>
      </w:r>
    </w:p>
    <w:p>
      <w:r>
        <w:t>Aus den im Gesetz genannten Gefährdungssituationen ergibt sich, dass nicht beliebige Nachteile oder Schwierigkeiten die Annahme einer konkreten Gefährdung im Sinne von Art. 83 Abs. 4 AuG rechtfertigen, sondern ausschliesslich Gefahren für Leib oder Leben. Die von der Weg- oder Ausweisung betroffene Person muss demnach im Falle einer Rückkehr in den Heimat- oder Herkunftsstaat dort in eine existenzielle Notlage geraten. Eine konkrete Gefährdung liegt folglich im Allgemeinen nicht schon deshalb vor, weil die wirtschaftliche Situation und damit die allgemeinen Lebensbedingungen im Heimat- oder Herkunftsstaat schwierig sind, dort beispielsweise Wohnungsnot oder hohe Arbeitslosigkeit herrschen, oder weil eine im Vergleich zur Schweiz weniger entwickelte medizinische Infrastruktur besteht. Von einer Unzumutbarkeit ist vielmehr erst dann auszugehen, wenn die ungenügende Möglichkeit der Weiterbehandlung eine drastische und lebensbedrohende Verschlechterung des Gesundheitszustandes nach sich zieht (vgl. BVGE 2009/2 E. 9.3.2; EMARK 2004 Nr. 7 E. 5d S. 50 ff. sowie 2003 Nr. 24 E. 5b S. 157 f.).</w:t>
      </w:r>
    </w:p>
    <w:p>
      <w:r>
        <w:rPr>
          <w:b/>
        </w:rPr>
        <w:t>E. 6.5.3</w:t>
      </w:r>
    </w:p>
    <w:p>
      <w:r>
        <w:t>Der Beschwerdeführer ist volljährig und verfügt vor Ort über zahlreiche soziale Anknüpfungspunkte im Verwandten- und Freundeskreis (vgl. A 6/11 S. 5; A 19/12 Antworten 88 ff.; A 23/16 Antwort 70). Es ist mithin von einem ausreichenden sozialen Netz (auch im Clan-Bereich) und in Anbetracht der vorhandenen sozialen Strukturen entgegen den Beschwerdevorbringen doch von gewissen finanziellen Möglichkeiten auszugehen. Andererseits wurde beim Beschwerdeführer ein (...)leiden diagnostiziert und gemäss Aktenlage eine Operation durchgeführt. Auch in der Beschwerde wird nicht geltend gemacht, es handle sich dabei um einen lebensbedrohlichen Zustand. Auch wenn die Nachbehandlung - so nach der allfälligen zweiten Operation, falls sie denn bereits stattfand oder vor der Ausreise noch stattfindet - vor Ort kaum mit schweizerischen Massstäben zu vergleichen ist, gibt es auch in Somaliland öffentlichen Quellen zufolge Einrichtungen, die im Bedarfsfall vom Beschwerdeführer aufgesucht werden könnten. Bei dieser Sachlage ist davon auszugehen, dass - wenn auch unter erschwerten Bedingungen - der Zugang des Beschwerdeführers zu einer allenfalls erforderlichen medizinischen Nachbehandlung im Heimatland gewährleistet ist. Insgesamt muss somit nicht davon ausgegangen werden, dass ihm aus gesundheitlichen Gründen eine konkrete Gefahr droht, und zwar umso weniger, als es ihm unbenommen ist, medizinische Rückkehrhilfe zu beantragen. Nach dem Gesagten erweist sich der Vollzug der Wegweisung auch als zumutbar.</w:t>
      </w:r>
    </w:p>
    <w:p>
      <w:r>
        <w:rPr>
          <w:b/>
        </w:rPr>
        <w:t>E. 6.6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dem Beschwerdeführer aufzuerlegen (Art. 63 Abs. 1 VwVG). Da ihm mit Zwischenverfügung vom 8. August 2016 die unentgeltliche Rechtspflege gemäss Art. 65 Abs. 1 VwVG gewährt wurde und sich an den Voraussetzungen dazu nichts geändert hat, sind indessen keine Verfahrenskosten aufzuerlegen.</w:t>
      </w:r>
    </w:p>
    <w:p>
      <w:r>
        <w:rPr>
          <w:b/>
        </w:rPr>
        <w:t>E. 9.2</w:t>
      </w:r>
    </w:p>
    <w:p>
      <w:r>
        <w:t>Nachdem dem Beschwerdeführer die unentgeltliche Rechtsverbei-ständung gewährt und die rubrizierte Rechtsvertreterin als Rechtsbeiständin eingesetzt wurde, ist ihr ein amtliches Honorar auszurichten.</w:t>
      </w:r>
    </w:p>
    <w:p>
      <w:r>
        <w:rPr>
          <w:b/>
        </w:rPr>
        <w:t>E. 9.3</w:t>
      </w:r>
    </w:p>
    <w:p>
      <w:r>
        <w:t>Das Bundesverwaltungsgericht geht bei amtlicher Vertretung (wie mit Zwischenverfügung vom 8. August 2016 ausgeführt) in der Regel von einem Stundenansatz Fr. 100.- bis Fr. 150.- für nicht-anwaltliche Vertreterinnen und Vertreter aus (vgl. Art. 12 i.V.m. Art. 10 Abs. 2 des Reglements vom 21. Februar 2008 über die Kosten und Entschädigungen vor dem Bundesverwaltungsgericht [VGKE, SR 173.320.2]). Es wird nur der notwendige Aufwand entschädigt. Die Rechtsbeiständin reichte am 8. September 2016 eine Kostennote ein. Der zeitliche Aufwand erscheint angemessen, wobei aber ein Stundenansatz von Fr. 150.- anzusetzen ist. Demnach ist ihr zulasten der Gerichtskasse ein amtliches Honorar von Fr. 1220.- (inkl. MWSt)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