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D-4720/2011 vom 30. November 2012</w:t>
      </w:r>
    </w:p>
    <w:p>
      <w:r>
        <w:t>Bundesverwaltungsgericht, 2012-11-30, DE</w:t>
      </w:r>
    </w:p>
    <w:p>
      <w:r>
        <w:rPr>
          <w:b/>
        </w:rPr>
        <w:t xml:space="preserve">Quelle: </w:t>
      </w:r>
      <w:r>
        <w:t>https://mcp.opencaselaw.ch/entscheid/bvger_D-4720_2011</w:t>
      </w:r>
    </w:p>
    <w:p>
      <w:r>
        <w:t>FR: TAF D-4720/2011 du 30 novembre 2012</w:t>
      </w:r>
    </w:p>
    <w:p>
      <w:r>
        <w:t>IT: TAF D-4720/2011 del 30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w:t>
      </w:r>
    </w:p>
    <w:p>
      <w:r>
        <w:t>Der Rückweisungsantrag des Beschwerdeführers ist sachlogisch vorab zu prüfen. Es trifft zu, dass das BFM im angefochtenen Entscheid keine Ausführungen zur Hungersnot in Somalia machte. In der Replik verwies es aber zurecht darauf, dass diese in Somaliland weniger gravierend gras­sierte als in anderen Gebieten des Horns von Afrika. Entsprechend drängten sich keine diesbezüglichen Erwägungen im Entscheid auf, zu­mal der Beschwerdeführer schon seit 1993 dort lebte und insoweit nicht als Binnenflüchtling anzusehen war. Besagte Hungersnot scheint im Übri­gen mittlerweile nicht mehr im gleichen Ausmass zu bestehen beziehungs­weise wurde für beendet erklärt (vgl. NZZ vom 4. Februar 2012). Des Weiteren hat sich die Vorinstanz in der Verfügung rechtsge­nüglich mit der Clan-Zugehörigkeit des Beschwerdeführers auseinanderge­setzt (vgl. S. 5 des Entscheids). Somit ist der Rückweisungs­antrag mangels er­sichtlicher Gehörsverletzungen abzuwei­sen.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S. 502; vgl. ebenso Walter Stöckli, Asyl, in: Uebersax/Rudin/Hugi Yar/Geiser [Hrsg.], Auslän­der­recht, 2. Aufl., Basel 2009, Rz. 11.148).</w:t>
      </w:r>
    </w:p>
    <w:p>
      <w:r>
        <w:rPr>
          <w:b/>
        </w:rPr>
        <w:t>E. 5.2.1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Somalia ist demnach unter dem Aspekt von Art. 5 AsylG recht­mässig. Sodann ergeben sich weder aus den Aussagen des Beschwerdeführers noch aus den Akten Anhaltspunkte dafür, dass er für den Fall einer Aus­schaffung nach Somalia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Heimatland (namentlich in Somali­land), welche nicht mit dem chaotischen Zustand in Süd- und Zentralsoma­lia verglichen werden kann,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Auf Grund der chaotischen Lage und der andauernden Gewaltsitua­tion in Zentral- und Süd-Somalia erweist sich ein Wegweisungsvollzug in diese Gebiete weiterhin als generell unzumutbar. Demgegenüber kann - unter gewissen Bedingungen - ein Vollzug der Wegweisung nach Somali­land und Puntland erfolgen. Dazu ist erforderlich, dass die betroffene Per­son enge Verbindungen zur Region hat, sich dort eine Existenzgrundlage aufbauen kann oder mit wirkungsvoller Unterstützung eines Familienclans rechnen darf (vgl. Entscheidungen und Mitteilungen der Schweizerischen Asylre­kurskommission [EMARK] 2006 Nr. 2 Erw. 7, vgl. auch zur allgemeinen Lage das Update der Schweizerischen Flüchtlingshilfe vom 4. Au­gust 2010 zu Somalia: Aktuelle Entwicklungen [Januar 2009 bis Juli 2010] und den Country Report on Human Rights Practices 2011 from the US Depart­ment of State, Mai 2012).</w:t>
      </w:r>
    </w:p>
    <w:p>
      <w:r>
        <w:rPr>
          <w:b/>
        </w:rPr>
        <w:t>E. 5.3.2.1</w:t>
      </w:r>
    </w:p>
    <w:p>
      <w:r>
        <w:t>Der Beschwerdeführer gab zu Protokoll, dass er dem Gaboye- be­zie­hungsweise Midgan-Clan angehöre, in Südsomalia geboren worden sei und seit 1993 in C._______/Somaliland gelebt habe. Im Sinne gewisser Beschwerdevorbringen und in Würdigung verfügbarer Quellen ist zwar nach wie vor davon auszugehen, dass er als Mitglied dieses Clans vor Ort gewissen Diskriminierungen ausgesetzt sein kann. Diese allein vermögen jedoch noch nicht zur Unzumutbarkeit des Wegweisungsvollzugs zu führen, vielmehr ist im Folgenden auf die individuelle Situation des Beschwerdeführers einzugehen.</w:t>
      </w:r>
    </w:p>
    <w:p>
      <w:r>
        <w:rPr>
          <w:b/>
        </w:rPr>
        <w:t>E. 5.3.2.2</w:t>
      </w:r>
    </w:p>
    <w:p>
      <w:r>
        <w:t>Aufgrund der Akten sind seine Vorbringen in der Beschwerde, die Mut­ter sei in Haft und der Bruder verstor­ben, nicht glaubhaft. Vielmehr hat er anlässlich der Anhörung ausgeführt, er habe mit der Mutter über einen befreundeten Nachbarn Kontakt aufnehmen können (vgl. A13, S. 6). Die Umstände des Todes des Bruders vermochte der Beschwerdeführer ebenfalls nicht glaubhaft darzulegen. Schliesslich erwähnte der Beschwerdeführer auch zwei Tanten, die sich in Somaliland aufhalten sollen. Entsprechend ist davon auszugehen, dass der Beschwerdeführer in Somaliland über verschiedene soziale Anknüpfungspunkte verfügt, hat er doch dort auch den grössten Teil seines Lebens verbracht und zusammen mit dem Bruder einen Coiffeursalon geführt.</w:t>
      </w:r>
    </w:p>
    <w:p>
      <w:r>
        <w:rPr>
          <w:b/>
        </w:rPr>
        <w:t>E. 5.3.2.3</w:t>
      </w:r>
    </w:p>
    <w:p>
      <w:r>
        <w:t>Im Übrigen handelt es sich beim Beschwerdeführer um einen jungen Mann, welcher den vorliegenden Akten zufolge nicht an be­hand­lungsbedürf­tigen Krankheiten leidet. Ins Gewicht fällt sodann der Umstand, dass er von ei­ner im Ausland lebenden Cousine zwecks Ausreise massgeblich finan­ziell unterstützt wurde und solche Unterstützungen auch weiterhin in Frage kommen dürften. Insgesamt ist damit davon auszugehen, dass der Beschwerdeführer in der Lage sein wird, sich wie bereits in der Vergangenheit eine Existenzgrundlage zu erarbeiten.</w:t>
      </w:r>
    </w:p>
    <w:p>
      <w:r>
        <w:rPr>
          <w:b/>
        </w:rPr>
        <w:t>E. 5.3.3</w:t>
      </w:r>
    </w:p>
    <w:p>
      <w:r>
        <w:t>Diesen Erwägungen gemäss erweist sich der Vollzug der Wegweisung nach Somaliland mithin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6.1</w:t>
      </w:r>
    </w:p>
    <w:p>
      <w:r>
        <w:t>Bei diesem Ausgang des Beschwerdeverfahrens wären dessen Kosten dem Beschwerdeführer aufzuerlegen (Art. 63 Abs. 1 VwVG). Da das Ge­such im Sinne von Art. 65 Abs. 1 VwVG mit Zwischenverfügung vom 30. Au­gust 2011 gutgeheissen wurde und er nach wie vor über kein Erwerbsein­kommen verfügt,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