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D-471/2008 vom 4. Juli 2011</w:t>
      </w:r>
    </w:p>
    <w:p>
      <w:r>
        <w:t>Bundesverwaltungsgericht, 2011-07-04, DE</w:t>
      </w:r>
    </w:p>
    <w:p>
      <w:r>
        <w:rPr>
          <w:b/>
        </w:rPr>
        <w:t xml:space="preserve">Quelle: </w:t>
      </w:r>
      <w:r>
        <w:t>https://mcp.opencaselaw.ch/entscheid/bvger_D-471_2008</w:t>
      </w:r>
    </w:p>
    <w:p>
      <w:r>
        <w:t>FR: TAF D-471/2008 du 4 juillet 2011</w:t>
      </w:r>
    </w:p>
    <w:p>
      <w:r>
        <w:t>IT: TAF D-471/2008 del 4 luglio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AsylG; Art. 83 Bst. d Ziff. 1 BGG).</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1.3</w:t>
      </w:r>
    </w:p>
    <w:p>
      <w:r>
        <w:t>Die Abteilungen des Bundesverwaltungsgerichts entscheiden in der Regel in der Besetzung mit drei Richtern oder Richterinnen (Spruchkörper) auf dem Weg der Aktenzirkulation (vgl. Art. 21 Abs. 1 und Art. 41 Abs. 1 VGG). Auf dem Gebiet des Asyls kann das Bundes­verwaltungsgericht auch in Verfahren, die nicht in die einzelrichterliche Zuständigkeit fallen (Art. 111 AsylG), auf die Durchführung des Schrif­tenwechsels verzichten (Art. 111a Abs. 1 AsylG).</w:t>
      </w:r>
    </w:p>
    <w:p>
      <w:r>
        <w:rPr>
          <w:b/>
        </w:rPr>
        <w:t>E. 2.1</w:t>
      </w:r>
    </w:p>
    <w:p>
      <w:r>
        <w:t>Die Beschwerdeführenden haben am Verfahren vor dem Bundes­amt teilgenommen, sind durch die am 16. Januar 2008 ergangene Ver­fügung besonders berührt und können sich auf ein schutzwürdiges In­teresse an deren Aufhebung beziehungsweise Änderung berufen. Da­mit sind sie zur Einreichung der dagegen gerichteten Beschwerde le­gitimiert (Art. 105 AsylG i.V.m. Art. 37 VGG und Art. 48 Abs. 1 VwVG).</w:t>
      </w:r>
    </w:p>
    <w:p>
      <w:r>
        <w:rPr>
          <w:b/>
        </w:rPr>
        <w:t>E. 2.2</w:t>
      </w:r>
    </w:p>
    <w:p>
      <w:r>
        <w:t>Die Eingabefrist sowie die Anforderungen an Form und Inhalt der Beschwerdeschrift sind gewahrt (Art. 105 AsylG und Art. 108 Abs. 1 AsylG i.V.m. Art. 37 VGG und Art. 52 Abs. 1 VwVG). Auf die Beschwerde ist somit einzutreten.</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Weist ein Gesuch eine - gemessen am Inhalt des verfassungsmässigen Wiedererwägungsanspruchs - genügend substanziierte Begründung auf, so unterliegt die angerufene Behörde einer Behandlungspflicht (qualifiziertes Wiedererwägungsgesuch; vgl. Entscheidungen und Mitteilungen der Schweizerischen Asylrekurskommission [EMARK] 2003 Nr. 17 E. 2a S. 103 f., BGE 127 I 133 E. 6, jeweils mit weiteren Hinweisen). In einer ersten Variante zieht die zuständige Behörde eine selbst getroffene Verfügung in Wiedererwägung,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(frz. "demande d'adaptation"). Sodann können auch eigentliche Revisionsgründe einen Anspruch auf Wiedererwägung be­gründen, sofern sie sich auf eine rechtskräftige Verfügung beziehen, die entweder unangefochten geblieben oder deswegen niemals einer materiellen Prüfung unterzogen worden ist, weil das angehobene Be­schwerdeverfahren mit einem formellen Prozessurteil endete. Ein der­artiges Rechtsmittel ist grundsätzlich nach den Regeln des Revisions­verfahrens zu behandeln. Eine wiedererwägungsrechtliche Prüfung kann schliesslich auch für Beweismittel Platz greifen, die sich thematisch auf vor dem ordentlichen Beschwerdeentscheid des Bundesverwaltungs­gerichts eingetretene Tatsachen beziehen, selber aber erst danach entstanden sind (vgl. Art. 123 Abs. 2 Bst. a BGG letzter Halbsatz i.V.m. Art. 45 VGG). Diese Abgrenzungsfrage kann im vorliegenden Fall letztlich aber offen bleiben, zumal die professionell vertretenen Beschwerdeführenden ausdrücklich um Wiedererwägung ersucht haben, ihnen aus der Prüfung durch die Vorinstanz kein Rechtsnachteil erwachsen ist und die eingereichten Beweismittel, wie nachfolgend ausgeführt wird, als nicht erheblich zu qualifizieren sind.</w:t>
      </w:r>
    </w:p>
    <w:p>
      <w:r>
        <w:rPr>
          <w:b/>
        </w:rPr>
        <w:t>E. 4</w:t>
      </w:r>
    </w:p>
    <w:p>
      <w:r>
        <w:t>Im Sinne einer Vorbemerkung ist darauf hinzuweisen, dass Gegen-stand des vorliegenden Verfahrens einzig die Frage der Zulässigkeit allenfalls Zumutbarkeit des Wegweisungsvollzuges bildet.</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5.1.2</w:t>
      </w:r>
    </w:p>
    <w:p>
      <w:r>
        <w:t>Da die Beschwerdeführenden keine Verfolgung oder begründete Furcht vor Nachteilen darzulegen vermochten, welche geeignet wäre, ihre Flüchtlingseigenschaft zu begründen, kann das in Art. 5 AsylG verankerte Prinzip des flüchtlingsrechtlichen Non-Refoulements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 Tätigkeit des Vaters des Beschwerdeführers als (...) über den Zeitraum vom 5. Februar (...) bis 3. April (...) vermag eine solche konkrete Gefahr für die Beschwerdeführenden nicht glaubhaft zu machen. In diesem Zusammenhang ist ausserdem festzuhalten, dass die wenige Tage nach Abschluss des ordentlichen Verfahrens ausgestellte Bestätigung bei Beachtung der zumutbaren Sorgfalt wohl bereits früher hätte beigebracht werden müssen. Ein Bedarf nach weiteren Abklärungen ergab sich weder für das Bundesamt noch ergibt sich ein solcher für das Bundesverwaltungsgericht. Der Vollzug der Wegweisung ist somit sowohl im Sinne der asylgesetzlichen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Bundesverwaltungsgericht geht in seiner Praxis davon aus, dass der Vollzug der Wegweisung von albanischsprachigen Roma, Ash­kali und Ägyptern nach Kosovo in der Regel zumutbar ist, sofern auf 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in Kosovo - erfüllt sind (vgl. BVGE 2007/10). Damit wird die Rechtsprechung der ehemaligen Asylrekurskommission fortgeführt (vgl. Entscheidungen und Mitteilungen der Schweizerischen Asylrekurskommission [EMARK] 2006 Nr. 10 und 11). Das Bundesverwaltungsgericht hält auch nach der Unabhängigkeitser­klärung des Kosovo, dessen Anerkennung durch die Schweiz sowie der Qualifikation durch den Bundesrat als "safe country" an dieser Rechtsprechung grundsätzlich fest. Die Situation der Minderheiten hat sich bezüglich Arbeitsmarkt und diskriminierungsfreiem Zugang zu öffentlichen Leistungen wie Ausbildung, Justiz oder medizinischer Ver­sorgung seit der Unabhängigkeit leicht verbessert. Die ethnischen Minderheiten werden nicht kollektiv verfolgt und von einer ernsthaften Gefahr für Leib und Leben allein aufgrund der ethnischen Zugehörigkeit ist nicht zu sprechen.</w:t>
      </w:r>
    </w:p>
    <w:p>
      <w:r>
        <w:rPr>
          <w:b/>
        </w:rPr>
        <w:t>E. 5.2.2</w:t>
      </w:r>
    </w:p>
    <w:p>
      <w:r>
        <w:t>Hinsichtlich der erforderlichen Einzelfallabklärung kann vorab auf die Ausführungen im Urteil des Bundesverwaltungsgerichts vom 20. November 2007 verwiesen werden. Es sind keine konkreten Hinweise ersichtlich, inwiefern sich diesbezüglich massgebliche Veränderungen ergeben hätten.</w:t>
      </w:r>
    </w:p>
    <w:p>
      <w:r>
        <w:rPr>
          <w:b/>
        </w:rPr>
        <w:t>E. 5.2.3</w:t>
      </w:r>
    </w:p>
    <w:p>
      <w:r>
        <w:t>Die Beschwerdeführenden lassen ausführen, sie verfügten über keinerlei Beziehungsnetz in Kosovo. Sie hätten diesen Umstand mittels Einreichung zweier Stammbaumdarstellungen sowie zahlreicher Ausweiskopien belegt. Damit hielten sich dort keine Verwandten auf, welche den Beschwerdeführenden bei einer Rückkehr in sozialer als auch wirtschaftlicher Hinsicht behilflich sein könnten. Anstatt diesen Sachverhalt abzuklären, behaupte das BFM in der angefochtenen Verfügung, die Situation würde sich noch gleich präsentieren wie in den Entscheiden des ersten Asylverfahrens. Vorauszuschicken ist auch hier, dass davon auszugehen ist, dieses neue Beweismittel hätte bei Beachtung der zumutbaren Sorgfalt bereits im ordentlichen Verfahren eingebracht werden können. Bei ihrer Argumentation übersehen die Beschwerdeführenden überdies, dass das Bundesverwaltungsgericht bereits im Urteil vom 20. November 2007 festhielt, es sei davon auszugehen, dass sie nach wie vor über ein Beziehungsnetz verfügten, wobei nicht von Belang sei, ob die Tante des Beschwerdeführers den Kosovo inzwischen verlassen habe. Inwiefern demgegenüber mittlerweile von einer veränderten Ausgangslage gesprochen werden müsste, ist nicht ersichtlich, zumal bei einem Beziehungsnetz nicht ausschliesslich an (nahe) Verwandte, sondern auch an Bekannte und Freunde zu denken ist. Entsprechend erübrigten sich diesbezüglich weitere Sachverhaltsabklärungen durch die Vorinstanz. Zudem ist - wie im Urteil des Bundesverwaltungsgerichts vom 20. November 2007 festgehalten - zu erwarten, dass die Beschwerdeführenden von ihren im Ausland wohnhaften Verwandten Unterstützung erhalten dürften.</w:t>
      </w:r>
    </w:p>
    <w:p>
      <w:r>
        <w:rPr>
          <w:b/>
        </w:rPr>
        <w:t>E. 5.2.4</w:t>
      </w:r>
    </w:p>
    <w:p>
      <w:r>
        <w:t>Sind, wie vorliegend, von einem allfälligen Wegweisungsvollzug Kinder betroffen, so bildet im Rahmen der Zumutbarkeitsprüfung das Kindeswohl einen Gesichtspunkt von gewichtiger Bedeutung. Dies ergibt sich nicht zuletzt aus einer völkerrechtskonformen Auslegung des gegenüber dem früheren Art. 14 Abs. 4 des Bundesgesetzes vom 26. März 1931 über Aufenthalt und Niederlassung der Ausländer (ANAG, BS 1 121) unverändert lautenden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(vgl. BVGE 2009/51 E. 5.6, EMARK 2005 Nr. 6 sowie EMARK 2006 Nr. 24 mit Hinweisen). Die Beschwerdeführenden lassen in der Eingabe vom 26. Dezember 2010 ausführen, die Kinder C._______, D._______, E._______, F._______, G._______ und H._______ seien in der Schweiz bestens integriert und hätten keinerlei Bezug mehr zu ihrem Herkunftsland beziehungsweise hätten dieses noch gar nie gesehen. Sie fühlten sich in der Schweiz zuhause und beherrschten die französische Landessprache in Wort und Schrift wesentlich besser als ihre albanische Muttersprache. Die älteste Tochter besuche die (...) Klasse in M._______, sei eine gute Schülerin und auf der Suche nach einer Lehrstelle. Die beiden ältesten Kinder der Beschwerdeführenden wurden im Heimatland geboren und reisten mit ihren Eltern im (...) - also im Alter von rund zwei Jahren beziehungsweise wenigen Monaten - nach Deutschland, wo - mit Ausnahme des jüngsten Sohnes, H._______, - die weiteren Geschwister zur Welt kamen. H._______ wurde am (...) in der Schweiz geboren. Da die Vorinstanz die Angaben der Beschwerdeführenden zu ihrem Aufenthalt in K._______ von August 2005 bis Juni 2006 als nicht glaubhaft erachtete (und das Bundesverwaltungsgericht diese Zweifel im nachfolgenden Beschwerdeverfahren teilte [vgl. Urteil vom 20. November 2007 E. 5.2 S. 9]), ist davon auszugehen, dass sich einzig die beiden ältesten Kinder während kurzer Zeit im Heimatland aufhielten. Die Sozialisierung der Kinder erfolgte damit überwiegend in Deutschland und in der Schweiz. Eine überdurchschnittliche Integration ergibt sich allerdings aus den Akten nicht. Die eingereichten schulischen Unterlagen aus den Jahren 2007-2008 und 2008-2009 vermögen eine solche nicht zu belegen. Sie zeigen aber die Anpassungsfähigkeit von Kindern und Jugendlichen auf, mussten sich die Kinder der Beschwerdeführenden doch aufgrund der Zuweisung in den Kanton N._______ im französischsprachigen Unterricht zurecht finden. Eigentliche Hinweise für eine überdurchschnittliche Integration - beispielsweise etwa ausserschulische Aktivitäten - werden jedoch keine geltend gemacht. Weiter ist davon auszugehen, dass alle Kinder die albanische Sprache zumindest mündlich beherrschen, gab doch die Beschwerdeführerin im Rahmen der Erstellung einer LINGUA-Analyse an, sie spreche mit ihren Kindern albanisch (vgl. A 28/8 S. 4). Anzumerken ist im Weiteren, dass insbesondere die jüngeren Kinder von der Einbettung in einer mehrköpfigen Familien profitieren können und eine gewisse gegenseitige Unterstützung möglich erscheint, mithin präsentiert sich die Situation nicht gleich wie bei einem Einzelkind, welches sich ein ganz neues Umfeld schaffen muss. Es liegt zwar auf der Hand, dass die Zukunftsaussichten in Kosovo kaum mit denjenigen in der Schweiz vergleichbar sind. Dennoch dürften zumindest die älteren Kinder angesichts ihres Schulbesuchs in Deutschland und in der Schweiz gegenüber den anderen Kindern im Heimatstaat eher Vorteile als Nachteile haben - auch in Bezug auf ihre berufliche Zukunft. Gesundheitliche Beeinträchtigungen der Kinder sind im Weiteren keine ersichtlich. Insgesamt ergibt sich damit, dass sich eine Rückkehr der Beschwerdeführenden mit Blick auf das Kindeswohl als zumutbar erweist, zumal besondere, erschwerende Umstände, die dagegen sprechen würden, nicht geltend gemacht werden (vgl. dazu Urteile des Bundesgerichts 2C_426/2010 E. 4.2, 2C_190/2008 E. 2.3.4 in fine).</w:t>
      </w:r>
    </w:p>
    <w:p>
      <w:r>
        <w:rPr>
          <w:b/>
        </w:rPr>
        <w:t>E. 5.2.5</w:t>
      </w:r>
    </w:p>
    <w:p>
      <w:r>
        <w:t>Hinsichtlich der beschwerdeführenden Eltern sind ebenfalls keine zwischenzeitlich eingetretenen Vollzugshindernisse ersichtlich, welche eine Rückkehr unzumutbar erscheinen liessen, noch werden solche geltend gemacht. Zur wirtschaftlichen Situation und zur allfälligen Unterstützung durch im Ausland wohnhafte Verwandte kann auf die diesbezüglichen Erwägungen im Urteil des Bundesverwaltungsgerichts vom 20. November 2007 verwiesen werden.</w:t>
      </w:r>
    </w:p>
    <w:p>
      <w:r>
        <w:rPr>
          <w:b/>
        </w:rPr>
        <w:t>E. 5.2.6</w:t>
      </w:r>
    </w:p>
    <w:p>
      <w:r>
        <w:t>Wie bereits im Urteil des Bundesverwaltungsgericht vom 20. November 2007 festgehalten, ist in Würdigung sämtlicher relevanter Umstände und ohne die schwierigen Verhältnisse im Heimatstaat zu verkennen, davon auszugehen, dass eine Rückkehr der Beschwerdeführenden in den Heimatstaat auch zum heutigen Zeitpunkt als zumutbar zu erachten ist. Nach dem Gesagten erübrigt es sich, auf die weiteren Beweismittel weiter im Detail einzugehen, da sie zu keiner anderen Schlussfolgerung führen. Ebenso besteht kein Anlass, die Sache zur Feststellung des vollständigen und richtigen rechtserheblichen Sachverhalts zur Neubeurteilung an das BFM zurückzuweisen, weshalb der diesbezügliche Antrag abzuweisen ist.</w:t>
      </w:r>
    </w:p>
    <w:p>
      <w:r>
        <w:rPr>
          <w:b/>
        </w:rPr>
        <w:t>E. 6</w:t>
      </w:r>
    </w:p>
    <w:p>
      <w:r>
        <w:t>Schliesslich obliegt es den Beschwerdeführenden, sich bei der zuständigen Vertretung ihres Heimatstaates die für eine Rückkehr notwendigen Reisedokumente zu beschaffen (vgl. Art. 8 Abs. 4 AsylG und dazu auch BVGE 2008/34 E. 12 S. 513-515), weshalb der Vollzug der Wegweisung auch als möglich zu bezeichnen ist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den Beschwerdeführenden aufzuerlegen (Art. 63 Abs. 1 und 5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