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D-4718/2012 vom 7. November 2012</w:t>
      </w:r>
    </w:p>
    <w:p>
      <w:r>
        <w:t>Bundesverwaltungsgericht, 2012-11-07, DE</w:t>
      </w:r>
    </w:p>
    <w:p>
      <w:r>
        <w:rPr>
          <w:b/>
        </w:rPr>
        <w:t xml:space="preserve">Quelle: </w:t>
      </w:r>
      <w:r>
        <w:t>https://mcp.opencaselaw.ch/entscheid/bvger_D-4718_2012</w:t>
      </w:r>
    </w:p>
    <w:p>
      <w:r>
        <w:t>FR: TAF D-4718/2012 du 7 novembre 2012</w:t>
      </w:r>
    </w:p>
    <w:p>
      <w:r>
        <w:t>IT: TAF D-4718/2012 del 7 novembre 2012</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und Art. 105 AsylG i.V.m. Art. 37 VGG i.V.m. Art. 48 Abs. 1 und Art. 52 Abs. 1 VwVG). Auf die Beschwerde ist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S. 116). Demnach enthält sich die Beschwerdeinstanz - sofern sie den Nichteintretensentscheid als unrechtmässig erachtet - einer selbstständigen materiellen Prüfung, hebt die angefochtene Verfügung auf und weist die Sache zu neuer Entscheidung an die Vorinstanz zurück (vgl. BVGE 2007/8 E. 2.1 S. 73 m.H.a. Entscheidungen und Mitteilungen der Schweizerischen Asylrekurskommission [EMARK] 2004 Nr. 34 E. 2.1. S. 240 f.).Folglich ist auf das Begehren, es sei Asyl zu gewähren, nicht einzutreten.</w:t>
      </w:r>
    </w:p>
    <w:p>
      <w:r>
        <w:rPr>
          <w:b/>
        </w:rPr>
        <w:t>E. 4.2</w:t>
      </w:r>
    </w:p>
    <w:p>
      <w:r>
        <w:t>Die Vorinstanz prüft die Frage der Wegweisung und des Vollzugs materiell, weshalb dem Bundesverwaltungsgericht diesbezüglich volle Kognition zukommt.</w:t>
      </w:r>
    </w:p>
    <w:p>
      <w:r>
        <w:rPr>
          <w:b/>
        </w:rPr>
        <w:t>E. 5</w:t>
      </w:r>
    </w:p>
    <w:p>
      <w:r>
        <w:t>Auf Gesuche von Asylsuchenden aus verfolgungssicheren Staaten nach Art. 6a Abs. 2 Bst. a AsylG (sogenannte Safe-Country-Regelung) wird nicht eingetreten, ausser es gebe Hinweise auf Verfolgung (Art. 34 Abs. 1 AsylG).</w:t>
      </w:r>
    </w:p>
    <w:p>
      <w:r>
        <w:rPr>
          <w:b/>
        </w:rPr>
        <w:t>E. 6.1</w:t>
      </w:r>
    </w:p>
    <w:p>
      <w:r>
        <w:t>Zur Begründung des angefochtenen Nichteintretensentscheides führte das BFM im Wesentlichen aus, Kosovo habe am 17. Februar 2008 die Unabhängigkeit erklärt. Gemäss der neuen kosovarischen Verfassung, die am 15. Juni 2008 in Kraft getreten sei, sei auch nach dem Statuswechsel eine internationale zivile und militärische Präsenz vorgesehen. So bestünden in Kosovo mit der UNMIK und der EU zwei internationale Missionen. Die am 9. Dezember 2008 offiziell gestartete EULEX-Mission sei formal den Vereinten Nationen unterstellt und werde unter deren Oberhoheit und innerhalb eines statusneutralen Rahmens geführt. Die internationalen Sicherheitskräfte und die Kosovo Police (KP) garantierten die Sicherheit. Der Bundesrat habe angesichts der aufgezeigten innenpolitischen Situation mit Beschluss vom 6. März 2009 Kosovo als verfolgungssicheren Staat (safe country) im Sinne von Art. 6a Abs. 2 Bst. a AsylG bezeichnet, weshalb das Bundesamt auf Asylgesuche von Personen aus diesem Staat nicht eintrete, ausser es gebe Hinweise auf eine Verfolgung. Derartige Hinweise, welche die widerlegbare Vermutung der Verfolgungssicherheit gemäss Art. 6a Abs. 2 Bst. a AsylG umstossen könnten, seien vorliegend aus den Akten nicht ersichtlich: Das BFM schliesse zwar nicht aus, dass der Vater des Beschwerdeführers während des Krieges in einem Spital gearbeitet habe und das Haus im Jahr 1999 niedergebrannt sei. Den Beschwerdeführenden (siehe Verfahren N _______ und vorliegendes Verfahren) sei es indessen nicht gelungen, von der Asylrelevanz ihrer Vorbringen zu überzeugen. Diese seien als unglaubhaft und zweifelhaft zu erachten. Der Vater sei gemäss den Ausführungen der Mutter, des Beschwerdeführers und der Schwester bereits nach dem Kriegsende gesucht worden. Dies sei auch früher rund 5 - 6-mal pro Monat passiert. Demgegenüber habe der Vater geltend gemacht, er sei erst seit 2007 gesucht worden, früher habe er keine Probleme gehabt. Da es sich hierbei um einen zentralen Punkt der Asylvorbringen handle, sei der Wahrheitsgehalt der Ausführungen der oben erwähnten Beschwerdeführenden mit starken Zweifeln behaftet. Ausserdem sei es vor dem Hintergrund, wonach der Vater über einen Zeitraum von rund 12 Jahren von einer bekannten Person sowie vielen weiteren Unbekannten 5 - 6-mal pro Monat - also mehrere Hundert Mal - gesucht worden sein solle, unrealistisch, dass sich diese Personen jeweils mit der Antwort der Familienangehörigen, er sei nicht zu Hause, zufrieden gegeben und ihn nie angetroffen hätten, obwohl er die letzten fünf Jahre immer im gleichen Haus wohnhaft gewesen sei und gelegentlich als Handwerker, Maler und Bauarbeiter gearbeitet habe. Auch den Aussagen des Beschwerdeführers sei zu entnehmen, dass der Vater früher als Maler gearbeitet habe. Es sei nicht ersichtlich, wie dies möglich gewesen sein solle, nachdem sich der Vater gemäss eigenen Angaben seit 1999 versteckt haben wolle respektive die ganze Zeit gesucht worden sein solle. Der Vater habe sich darüber hinaus während der Anhörung hinsichtlich seiner Erwerbstätigkeit und des Grundes, warum die Familie nicht früher ausgereist sei, in Widersprüche verstrickt beziehungsweise habe versucht, seine Aussagen jeweils anzupassen. Die unterschiedlichen Aussagen habe er nicht überzeugend zu klären vermocht. Des Weiteren behaupteten die vorerwähnten Beschwerdeführenden, keine Kenntnisse über den Aufenthaltsort der zahlreichen Verwandten zu haben, was jedoch wenig plausibel sei, zumal sie bereits seit 2006 im Haus der Schwägerin gelebt haben wollten und keine überzeugenden Gründe genannt hätten, weshalb der Kontakt gänzlich abgebrochen sein solle. Der Beschwerdeführer wolle zudem nicht gewusst haben, dass er im Haus von nahen Verwandten gewohnt habe (vgl. Anhörungsprotokoll vom 22. August 2012, A9 S. 4). Die Ausführungen der oben erwähnten Beschwerdeführenden seien realitätsfremd geblieben. Sie hätten die angeblich zu Hause und in der Schule erlittenen Belästigungen, Bedrohungen und Übergriffe auch nie angezeigt, obwohl der Vater genau wisse, wer dahinter stecke. Ferner könne nicht nachvollzogen werden, weshalb sie (inkl. des Beschwerdeführers) mit der Ausreise rund 12 Jahre zugewartet hätten. Es sei nicht ersichtlich, inwiefern die Situation im Jahr 2011 habe verändert sein sollen. Nach dem Gesagten erübrige es sich, auf weitere Widersprüche und Ungereimtheiten einzugehen. Zusammenfassend kam das BFM zum Schluss, dass sich aus den Akten keine Hinweise ergäben, welche die widerlegbare Vermutung des Art. 6a Abs. 2 Bst. a AsylG umstossen könnten. Daher werde in Anwendung von Art. 34 Abs. 1 AsylG auf das Asylgesuch des Beschwerdeführers nicht eingetreten. Der Vollzug der Wegweisung sei zulässig, zumutbar und möglich.</w:t>
      </w:r>
    </w:p>
    <w:p>
      <w:r>
        <w:rPr>
          <w:b/>
        </w:rPr>
        <w:t>E. 6.2</w:t>
      </w:r>
    </w:p>
    <w:p>
      <w:r>
        <w:t>In der Rechtsmitteleingabe wurde im Wesentlichen geltend gemacht, die Bedrohungslage für die albanischsprachigen Majup sei in Kosovo immer noch akut. Es liege nicht nur eine generelle, sondern auch eine individuelle Gefährdung des Beschwerdeführers vor. Das Haus des Familienvaters sei abgebrannt worden, doch die Polizei habe sich nicht schutzbereit gezeigt. Zudem werde der Vater per Haftbefehl im Kosovo gesucht, was aufgrund der nach wie vor aktuellen Sippenhaft auch für den Beschwerdeführer als individuelle Bedrohung zu qualifizieren sei. Damit sei seine Flüchtlingseigenschaft belegt. Ausserdem habe er in der Schweiz zahlreiche Familienangehörige, weshalb auch Art. 8 der Konvention vom 4. November 1950 zum Schutze der Menschenrechte und Grundfreiheiten (EMRK, SR 0.101) einer Wegweisung entgegenstehe.</w:t>
      </w:r>
    </w:p>
    <w:p>
      <w:r>
        <w:rPr>
          <w:b/>
        </w:rPr>
        <w:t>E. 6.3.1</w:t>
      </w:r>
    </w:p>
    <w:p>
      <w:r>
        <w:t>Gemäss eigenen Angaben handelt es sich beim Beschwerdeführer um einen kosovarischen Staatsangehörigen. Der Bundesrat hat Kosovo mit Beschluss vom 6. März 2009 zum "safe country" im obgenannten Sinn erklärt und ist auf diese Einschätzung im Rahmen der periodischen Überprüfung (vgl. Art. 6a Abs. 3 AsylG) bisher nicht zurückgekommen. Angesichts dessen ist vorliegend die formelle Voraussetzung für den Erlass eines Nichteintretensentscheides gestützt auf Art. 34 Abs. 1 AsylG gegeben. Zur Vermeidung von Wiederholungen kann diesbezüglich auf die zutreffenden Erwägungen in der angefochtenen Verfügung verwiesen werden.</w:t>
      </w:r>
    </w:p>
    <w:p>
      <w:r>
        <w:rPr>
          <w:b/>
        </w:rPr>
        <w:t>E. 6.3.2</w:t>
      </w:r>
    </w:p>
    <w:p>
      <w:r>
        <w:t>Das Bundesverwaltungsgericht teilt die Einschätzung des BFM, wonach in casu keine Hinweise ersichtlich sind, welche die in Bezug auf Kosovo bestehende widerlegbare Vermutung der Verfolgungssicherheit umstossen könnten. Das Bundesamt legte in ausführlicher Art und Weise dar, weshalb vorliegend die Voraussetzungen für ein Nichteintreten gemäss Art. 34 Abs. 1 AsylG erfüllt seien. Das Gericht erachtet die entsprechenden vorinstanzlichen Erwägungen als korrekt, so dass es sich rechtfertigt, vollumfänglich darauf zu verweisen. Die entsprechenden auf Beschwerdeebene gemachten Ausführungen vermögen zu keiner anderen Einschätzung zu führen. So ist insbesondere das Vorbringen, die Polizei habe sich nicht schutzbereit erklärt, nicht zu hören, da die Beschwerdeführenden (siehe Verfahren N _______) den Akten zufolge die Polizei gar nicht aufsuchten. Der Vater des Beschwerdeführers gab in diesem Zusammenhang an, er habe die Vorfälle der Polizei nicht gemeldet. Auch die Beschwerdeführerinnen (Mutter/Schwester) erklärten, man habe aus Angst keine Anzeige erstattet. Das Vorbringen, der Vater werde in Kosovo per Haftbefehl gesucht, wurde im Übrigen erst auf Beschwerdeebene geltend gemacht, weshalb es als nachgeschoben, mithin als unglaubhaft zu qualifizieren ist. Nach dem Gesagten ist die Echtheit der in Aussicht gestellten Dokumente (Polizeirapport, Haftbefehl) ernsthaft zu bezweifeln, so dass darauf verzichtet werden kann, deren Nachreichung abzuwarten.</w:t>
      </w:r>
    </w:p>
    <w:p>
      <w:r>
        <w:rPr>
          <w:b/>
        </w:rPr>
        <w:t>E. 6.3.3</w:t>
      </w:r>
    </w:p>
    <w:p>
      <w:r>
        <w:t>Unter Berücksichtigung aller Umstände ergibt sich, dass das BFM in Anwendung von Art. 34 Abs. 1 AsylG zu Recht auf das Asylgesuch des Beschwerdeführers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der damaligen Schweizerischen Asylrekurskommission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Rz. 11.148 S. 568).</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BFM begründete die Anordnung des Wegweisungsvollzugs damit, dass weder die im Heimatstaat herrschende politische Situation noch andere Gründe gegen die Zumutbarkeit der Rückführung sprechen würden.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albanischsprachige Roma, Ashkali und Majup - mit Ausnahme einiger Dörfer beziehungsweise Gemeinden - alleine aufgrund der Ethnie ausgeschlossen werden. Zudem sei für diese Ethnien die Bewegungsfreiheit in Kosovo grundsätzlich gegeben. Auch sei der Zugang zu den medizinischen und sozialen Strukturen in aller Regel gewährleistet. Im vorliegenden Fall gehörten die Beschwerdeführenden (siehe Verfahren N _______ und vorliegendes Verfahren) der Minderheit der albanischsprachigen Majup an und seien seit mehreren Jahren in D._______ wohnhaft gewesen. Der Vollzug der Wegweisung sei somit zumutbar. Insbesondere würden auch keine individuellen Gründe gegen die Zumutbarkeit des Wegweisungsvollzugs sprechen. Die vorerwähnten Beschwerdeführenden hätten keine wirtschaftlichen Probleme gehabt (vgl. Befragungsprotokoll vom 27. September 2011, A4 S. 7) und könnten in ein Haus zurückkehren, in dem sie seit Jahren wohnhaft gewesen seien. Den Akten seien keine Anhaltspunkte dafür zu entnehmen, dass die Mutter oder die Schwester des Beschwerdeführers eine medizinische Behandlung benötigen würden, die in ihrer Heimat nicht gewährleistet wäre. Es sei den Beschwerdeführenden zuzumuten, bei einer Rückkehr nach Kosovo erneut einer Erwerbstätigkeit nachzugehen, um ihren Lebensunterhalt zu bestreiten. Hinzu komme, dass sie viele Verwandte hätten. Dass sie mit diesen keinen Kontakt unterhielten, sei nicht plausibel. Selbst blosse soziale und wirtschaftliche Schwierigkeiten, wie namentlich der Mangel an Wohnungen und Arbeitsplätzen, von welchen die ansässige Bevölkerung betroffen sei, stellten keine existenzbedrohende Situation dar, welche den Wegweisungsvollzug in den Heimatstaat als unzumutbar erscheinen liesse. Demzufolge stünden auch allfällige wirtschaftliche Reintegrationsschwierigkeiten dem Vollzug nicht entgegen.</w:t>
      </w:r>
    </w:p>
    <w:p>
      <w:r>
        <w:rPr>
          <w:b/>
        </w:rPr>
        <w:t>E. 8.2.2</w:t>
      </w:r>
    </w:p>
    <w:p>
      <w:r>
        <w:t>Das Bundesverwaltungsgericht geht in seiner Praxis davon aus, dass der Vollzug der Wegweisung von albanischsprachigen Roma, Ashkali und "Ägyptern" nach Kosovo in der Regel zumutbar ist, sofern aufgrund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ARK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betreffend Arbeitsmarkt und diskriminierungsfreien Zugang zu öffentlichen Leistungen wie Ausbildung, Justiz oder medizinischer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8.2.3.1</w:t>
      </w:r>
    </w:p>
    <w:p>
      <w:r>
        <w:t>Die Vorinstanz ist in der angefochtenen Verfügung von der Zumutbarkeit des Wegweisungsvollzugs ausgegangen, ohne die Zumutbarkeitskriterien im Rahmen einer Einzelfallabklärung vor Ort vertieft geprüft zu haben. Das Urteil BVGE 2007/10 verlangt zwar nicht in jedem Fall zwingend - etwa als formelle und materielle Bedingung einer hinreichenden Erstellung des rechtserheblichen Sachverhaltes - eine Einzelfallabklärung vor Ort. Ein Entscheid soll sich aber nicht bloss auf Angaben der Asylsuchenden - welche sich in der Regel auf die rudimentäre Bekanntgabe naher Angehöriger und ausgeübter Berufstätigkeit beschränken - stützen, sondern auf eine konkrete Analyse der Situation vor Ort, welche ein genaueres Bild der herrschenden Verhältnisse vermitteln kann. Vorliegend hat das BFM die Frage der Zumutbarkeit des Wegweisungsvollzugs einzig aufgrund der Angaben des Beschwerdeführers geprüft. Dadurch ist jedoch in ungenügender Weise abgeklärt, ob er sich in seiner Heimat abgesehen von seinen Familienangehörigen auf ein soziales Netzwerk abstützen kann und ob eine ausreichende wirtschaftliche Lebensgrundlage besteht. Gerade vor dem Hintergrund, wonach der Beschwerdeführer geltend machte, er habe keine Verwandten mehr im Kosovo (vgl. A4 S. 4), hätte sich vorliegend eine Einzelfallabklärung aufgedrängt. Da eine solche nicht erfolgt ist, beruht die angefochtene Verfügung auf einem unvollständig festgestellten Sachverhalt.</w:t>
      </w:r>
    </w:p>
    <w:p>
      <w:r>
        <w:rPr>
          <w:b/>
        </w:rPr>
        <w:t>E. 8.2.3.2</w:t>
      </w:r>
    </w:p>
    <w:p>
      <w:r>
        <w:t>Das Bundesverwaltungsgericht entscheidet in der Regel reformatorisch. Nur ausnahmsweise wird eine angefochtene Verfügung kassiert und an die Vorinstanz zurückgewiesen. In casu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dem Beschwerdeführer auf diese Weise der Instanzenzug erhalten, was umso wichtiger ist, als das Bundesverwaltungsgericht im Asylverfahren letztinstanzlich entscheidet. Nach dem Gesagten sind die Ziffern 3 und 4 des Dispositivs der angefochtenen Verfügung aufzuheben und die Beschwerde ist bezüglich der Anordnung des Wegweisungsvollzugs gutzuheissen. Das BFM ist anzuweisen, die erforderlichen Abklärungen (vor Ort) vorzunehmen beziehungsweise vornehmen zu lassen und aufgrund des vollständig erstellten und aktualisierten Sachverhalts betreffend den Vollzug der Wegweisung neu zu entscheiden. Der Subeventualantrag, das Verfahren sei zur Neuabklärung zurückzuweisen, wird gutgeheissen. Angesichts dieser Sachlage kann darauf verzichtet werden, auf die weiteren Beschwerdevorbringen näher einzugehen.</w:t>
      </w:r>
    </w:p>
    <w:p>
      <w:r>
        <w:rPr>
          <w:b/>
        </w:rPr>
        <w:t>E. 9.1</w:t>
      </w:r>
    </w:p>
    <w:p>
      <w:r>
        <w:t>Bei diesem Ausgang des Verfahrens sind die Kosten nach dem Grad des Durchdringens praxisgemäss zur Hälfte (Fr. 300.-) dem Beschwerdeführer aufzuerlegen (Art. 63 Abs. 1 und 5 VwVG; Art. 1-3 des Reglements vom 21. Februar 2008 über die Kosten und Entschädigungen vor dem Bundesverwaltungsgericht [VGKE, SR 173.320.2]).</w:t>
      </w:r>
    </w:p>
    <w:p>
      <w:r>
        <w:rPr>
          <w:b/>
        </w:rPr>
        <w:t>E. 9.2</w:t>
      </w:r>
    </w:p>
    <w:p>
      <w:r>
        <w:t>Die Beschwerdeinstanz kann der ganz oder teilweise obsiegenden Partei von Amtes wegen oder auf Begehren hin eine Entschädigung für die ihr erwachsenen notwendigen und verhältnismässig hohen Kosten zusprechen (Art. 64 Abs. 1 VwVG i.V.m. Art. 7 Abs. 1 und 2 VGKE). Vorliegend hat der Rechtsvertreter keine Kostennote eingereicht. Auf die Nachforderung einer solchen kann indessen verzichtet werden, da der Aufwand für das Beschwerdeverfahren zuverlässig abschätzbar ist(Art. 14 Abs. 2 in fine VGKE). In Anwendung der genannten Bestimmung und unter Berücksichtigung der massgeblichen Bemessungsfaktoren (vgl. Art. 8 ff. VGKE) ist das BFM anzuweisen, dem Beschwerdeführer eine Parteientschädigung in der Höhe von pauschal Fr. 600.-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