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D-4714/2008 vom 6. Februar 2009</w:t>
      </w:r>
    </w:p>
    <w:p>
      <w:r>
        <w:t>Bundesverwaltungsgericht, 2009-02-06, DE</w:t>
      </w:r>
    </w:p>
    <w:p>
      <w:r>
        <w:rPr>
          <w:b/>
        </w:rPr>
        <w:t xml:space="preserve">Quelle: </w:t>
      </w:r>
      <w:r>
        <w:t>https://mcp.opencaselaw.ch/entscheid/bvger_D-4714_2008</w:t>
      </w:r>
    </w:p>
    <w:p>
      <w:r>
        <w:t>FR: TAF D-4714/2008 du 6 février 2009</w:t>
      </w:r>
    </w:p>
    <w:p>
      <w:r>
        <w:t>IT: TAF D-4714/2008 del 6 febbraio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Amtssprachen des Bundes sind das Deutsche, Französische und Italienische (vgl. Art. 70 Abs. 1 der Bundesverfassung der Schweizerischen Eidgenossenschaft vom 18. April 1999 [BV, SR 101]). Die in englischer Sprache eingereichte Beschwerde ist aufgrund ihrer Verständlichkeit und der Dringlichkeit der Sache im Interesse aller am Verfahren Beteiligten ohne präjudizielle Wirkung entgegen zu nehmen.</w:t>
      </w:r>
    </w:p>
    <w:p>
      <w:r>
        <w:rPr>
          <w:b/>
        </w:rPr>
        <w:t>E. 1.3</w:t>
      </w:r>
    </w:p>
    <w:p>
      <w:r>
        <w:t>Im Übrigen ist die Beschwerde form- und fristgerecht eingereicht; der Beschwerdeführer ist legitimiert (Art. 108 Abs. 1 und 6 AsylG i.V.m. Art. 48 und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5.1</w:t>
      </w:r>
    </w:p>
    <w:p>
      <w:r>
        <w:t>Wie oben erwähnt ist im Auslandverfahren die asylsuchende Person in der Regel zu befragen. Gemäss publizierter Praxis kann davon nur abgewichen werden, wenn eine Befragung faktisch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zum Ganzen BVGE 2007/30 E. 5 S. 7 ff.).</w:t>
      </w:r>
    </w:p>
    <w:p>
      <w:r>
        <w:rPr>
          <w:b/>
        </w:rPr>
        <w:t>E. 5.2</w:t>
      </w:r>
    </w:p>
    <w:p>
      <w:r>
        <w:t>Vorliegend bestehen keine Zweifel daran, dass eine Befragung des Beschwerdeführers durch die Schweizerische Botschaft in Colombo möglich gewesen wäre. Weder der angefochtenen Verfügung noch den Akten sind Anhaltspunkte dafür zu entnehmen, dass eine Befragung nicht hätte durchgeführt werden können. Die Schweizerische Botschaft bestätigt denn letztlich diesen Umstand auch mit ihrer Formulierung in der Überweisungsnotiz vom 29. Januar 2008 (vgl. Bst. A, letzter Absatz). Ihr Vorgehen steht somit nicht in Einklang mit der Rechtsprechung (BVGE 2007/30).</w:t>
      </w:r>
    </w:p>
    <w:p>
      <w:r>
        <w:rPr>
          <w:b/>
        </w:rPr>
        <w:t>E. 5.3</w:t>
      </w:r>
    </w:p>
    <w:p>
      <w:r>
        <w:t>Der Beschwerdeführer reichte bei der Schweizerischen Botschaft ein begründetes und mit Beweismitteln dokumentiertes, schriftliches Asylgesuch ein und wurde am 10. Dezember 2007 aufgefordert, weitere Ausführungen zu machen sowie allfällige Beweismittel einzureichen. Er beantwortete dieses Schreiben am 20. Dezember 2007 und übermittelte weitere, den geltend gemachten Sachverhalt stützende Kopien von Beweismitteln. Der zuständige Sachbearbeiter in der Schweizerischen Botschaft beschloss, keine Anhörung des Beschwerdeführers durchzuführen, da dieser zum Schluss kam, jener erfülle die Voraussetzungen zur Asylerteilung nicht ("I feel the applicant does not fulfil the requirements of obteining Asylum"; vgl. auch oben/Bst. A, letzter Absatz). Dem Beschwerdeführer kann indessen nicht vorgehalten werden, er habe die ihm in vier Ziffern aufgelisteten Fragen beziehungsweise Fragenkomplexe nicht von sich aus genau und detailliert beantwortet, da die Mitwirkungspflicht gemäss Art. 8 AsylG ihre Grenzen in der Pflicht der Behörde zur Sachverhaltsabklärung gemäss Art. 12 VwVG findet. Gerade eine Anhörung hätte in einem solchen Fall in Bezug auf den Sachvortrag des Beschwerdeführers dazu geführt, dass allfällige Unklarheiten mittels gezielter Nachfragen, rasch, unaufwändig und letztlich zur Zufriedenheit der Beteiligten hätten ausgeräumt oder gar beseitigt werden können. Der Umstand, dass der Beschwerdeführer nach seiner Eingabe vom 20. Dezember 2007 nichts mehr zu den Akten reichte, rechtfertigt einen Verzicht auf eine persönliche Anhörung ebenfalls nicht. Ungeachtet der Nichtanhörung des Beschwerdeführers beziehungsweise ungeachtet der Frage, ob die Schriftlichkeit des Asylgesuchs mit der Aufforderung eines individualisierten Schreibens zur näheren schriftlichen Erläuterung des Asylgesuchs vorliegend den Anforderungen an die Rechtsprechung genügt hätte und der Sachverhalt als erstellt hätte erachtet werden können, ist hinsichtlich letzterem Aspekt jedoch festzustellen, dass dem Beschwerdeführer in der gewählten Vorgehensweise des BFM das rechtliche Gehör zu dem sich abzeichnenden negativen Entscheid hätte gewährt werden müssen, was indessen unterlassen wurde.</w:t>
      </w:r>
    </w:p>
    <w:p>
      <w:r>
        <w:rPr>
          <w:b/>
        </w:rPr>
        <w:t>E. 5.4</w:t>
      </w:r>
    </w:p>
    <w:p>
      <w:r>
        <w:t>Aufgrund des oben Gesagten ergibt sich, dass die Vorinstanz dem Beschwerdeführer das gemäss Rechtsprechung zwingend zu gewährende rechtliche Gehör nicht gewährte. Dieser Mangel ist auf Beschwerdeebene nicht zu heilen, zumal es nicht Sinn und Zweck des Beschwerdeverfahrens vor dem Bundesverwaltungsgericht ist, während diesem von der Vorinstanz unterlassene Verfahrenshandlungen nachzuholen. Nicht zuletzt ist in diesem Zusammenhang auch auf den Zeitpunkt des Entscheids des BFM vom 6. Mai 2008 zu verweisen, welcher mehr als fünf Monate nach Erlass des vorerwähnten publizierten Urteils des Bundesverwaltungsgerichts vom 27. November 2007 datiert und die dort genannten Kriterien scheinbar nur teilweise berücksichtigt (vgl. auch Urteil des Bundesverwaltungsgerichts D-1433/2007 vom 23. Mai 2008 E.3.2.4).</w:t>
      </w:r>
    </w:p>
    <w:p>
      <w:r>
        <w:rPr>
          <w:b/>
        </w:rPr>
        <w:t>E. 6</w:t>
      </w:r>
    </w:p>
    <w:p>
      <w:r>
        <w:t>Die Feststellung, dass der Sachverhalt von der Vorinstanz mangels Botschaftsanhörung nur unvollständig abgeklärt wurde, führt indessen nicht dazu, dass dem Beschwerdeführer die Einreise in die Schweiz bereits aus diesem Grund zu bewilligen wäre. Aus dem Umstand, dass er bisher nicht befragt respektive ihm das rechtliche Gehör nicht gewährt wurde, kann nicht geschlossen werden, dass ihm zur persönlichen Anhörung die Einreise in die Schweiz bewilligt werden müsste. Angesichts der Aktenlage bestehen nicht genügend konkrete Anhaltspunkte für die Annahme, ihm wäre ein Verbleib in Sri Lanka für die Dauer der weiteren, noch erforderlichen Sachverhaltsabklärungen nicht zumutbar im Sinne von Art. 20 Abs. 2 AsylG.</w:t>
      </w:r>
    </w:p>
    <w:p>
      <w:r>
        <w:rPr>
          <w:b/>
        </w:rPr>
        <w:t>E. 7.1</w:t>
      </w:r>
    </w:p>
    <w:p>
      <w:r>
        <w:t>Zusammenfassend ist festzuhalten, dass die Vorinstanz den Anspruch des Beschwerdeführers auf rechtliches Gehör verletzt hat. Da eine Heilung dieses Verfahrensmangels im Rahmen des Beschwerdeverfahrens nicht angezeigt ist, ist der angefochtene Entscheid aufzuheben und im Sinne der Erwägungen an die Vorinstanz zurückzuweisen.</w:t>
      </w:r>
    </w:p>
    <w:p>
      <w:r>
        <w:rPr>
          <w:b/>
        </w:rPr>
        <w:t>E. 7.2</w:t>
      </w:r>
    </w:p>
    <w:p>
      <w:r>
        <w:t>Nach dem Gesagten ist die Beschwerde gutzuheissen, die vorinstanzliche Verfügung vom 6. Mai 2008 aufzuheben und die Vorinstanz anzuweisen, den rechtserheblichen Sachverhalt vollständig festzustellen und in der Sache neu zu entscheiden.</w:t>
      </w:r>
    </w:p>
    <w:p>
      <w:r>
        <w:rPr>
          <w:b/>
        </w:rPr>
        <w:t>E. 8.1</w:t>
      </w:r>
    </w:p>
    <w:p>
      <w:r>
        <w:t>Bei diesem Ausgang des Verfahrens sind keine Kosten aufzuerlegen (Art. 63 Abs. 1 und 2 VwVG).</w:t>
      </w:r>
    </w:p>
    <w:p>
      <w:r>
        <w:rPr>
          <w:b/>
        </w:rPr>
        <w:t>E. 8.2</w:t>
      </w:r>
    </w:p>
    <w:p>
      <w:r>
        <w:t>Da der Beschwerdeführer im Beschwerdeverfahren nicht anwaltlich vertreten wurde, ist nicht davon auszugehen, ihm seien durch die Beschwerdeführung Kosten erwachsen. Daher ist ihm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