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D-4711/2022 vom 13. September 2022</w:t>
      </w:r>
    </w:p>
    <w:p>
      <w:r>
        <w:t>Bundesverwaltungsgericht, 2022-09-13, DE</w:t>
      </w:r>
    </w:p>
    <w:p>
      <w:r>
        <w:rPr>
          <w:b/>
        </w:rPr>
        <w:t xml:space="preserve">Quelle: </w:t>
      </w:r>
      <w:r>
        <w:t>https://mcp.opencaselaw.ch/entscheid/bvger_D-4711_2022_d20220913</w:t>
      </w:r>
    </w:p>
    <w:p>
      <w:r>
        <w:t>FR: TAF D-4711/2022 du 13 septembre 2022</w:t>
      </w:r>
    </w:p>
    <w:p>
      <w:r>
        <w:t>IT: TAF D-4711/2022 del 13 settembre 2022</w:t>
      </w:r>
    </w:p>
    <w:p>
      <w:pPr>
        <w:pStyle w:val="Heading2"/>
      </w:pPr>
      <w:r>
        <w:t>Regeste</w:t>
      </w:r>
    </w:p>
    <w:p>
      <w:r>
        <w:t>Vollzug der Wegweisung (beschleunigtes Verfahren) | Vollzug der Wegweisung (beschleunigtes Verfahren); Verfügung des SEM vom 13. September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D-4711/2022 Seite 4</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i.V.m. Art. 10 Covid-19-Verordnung Asyl vom 20. April 2020 [SR 142.318]; Art. 48 Abs. 1 sowie Art. 52 Abs. 1 VwVG). Auf die Beschwerde ist einzutreten.</w:t>
      </w:r>
    </w:p>
    <w:p>
      <w:r>
        <w:rPr>
          <w:b/>
        </w:rPr>
        <w:t>E. 2.1</w:t>
      </w:r>
    </w:p>
    <w:p>
      <w:r>
        <w:t>Die Kognition des Bundesverwaltungsgerichts und die zulässigen Rü- gen richten sich im Bereich des Ausländerrechts nach Art. 49 VwVG (vgl. BVGE 2014/26 E. 5).</w:t>
      </w:r>
    </w:p>
    <w:p>
      <w:r>
        <w:rPr>
          <w:b/>
        </w:rPr>
        <w:t>E. 2.2</w:t>
      </w:r>
    </w:p>
    <w:p>
      <w:r>
        <w:t>Das Urteil in vorliegender Sache ergeht mit demselben Spruchgremium koordiniert und zeitgleich wie dasjenige der Mutter (Urteil des BVGer D-4660/2022 vom 8. November 2022). Der Antrag auf Vereinigung der Ver- fahren wird abgelehnt.</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Die Beschwerde richtet sich lediglich gegen den angeordneten Wegwei- sungsvollzug (Dispositivziffern 4 und 5 der angefochtenen Verfügung). Demnach ist die vorinstanzliche Verfügung in Rechtskraft erwachsen, so- weit sie die Frage der Flüchtlingseigenschaft und des Asyls betrifft, und auch die Wegweisung als solche (Dispositivziffer 3) ist grundsätzlich nicht mehr zu überprüfen. Gegenstand des vorliegenden Beschwerdeverfahrens bildet demnach einzig die Frage, ob das SEM den Wegweisungsvollzug zu Recht als durchführbar erachtet hat.</w:t>
      </w:r>
    </w:p>
    <w:p>
      <w:r>
        <w:t>D-4711/2022 Seite 5</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5.3</w:t>
      </w:r>
    </w:p>
    <w:p>
      <w:r>
        <w:t>Die Vorinstanz wies in ihrer angefochtenen Verfügung zutreffend darauf hin, dass das Prinzip des flüchtlingsrechtlichen Non-Refoulement nur Per- 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 Gemäss Praxis des Europäischen Gerichtshofes für Menschenrechte (EGMR) sowie jener des UN-Anti-Folterausschusses müsste die</w:t>
      </w:r>
    </w:p>
    <w:p>
      <w:r>
        <w:t>D-4711/2022 Seite 6 Beschwerdeführerin eine konkrete Gefahr ("real risk") nachweisen oder glaubhaft machen, dass ihr im Fall einer Rückschiebung Folter oder un- menschliche Behandlung drohen würde (vgl. Urteil des EGMR Saadi ge- gen Italien 28. Februar 2008, Grosse Kammer 37201/06, §§ 124–127 m.w.H.). Zur Begründung der Anordnung des Wegweisungsvollzugs führte das SEM an, aus den Akten würden sich keine Anhaltspunkte dafür ergeben, dass der Beschwerdeführerin im Falle einer Rückkehr nach Kolumbien mit be- achtlicher Wahrscheinlichkeit eine durch Art. 3 EMRK verbotene Strafe oder Behandlung drohe. In ihrer Beschwerdeeingabe machte die Beschwerdeführerin keine eigen- ständigen Gründe geltend, die gegen die Anordnung des Wegweisungs- vollzugs sprechen würden, sondern verwies auf die in der Eingabe ihrer Mutter geltend gemachten Vorbringen. Das Gericht gelangt zum Schluss, dass die Einschätzung der Vorinstanz nicht zu beanstanden ist. Weder aus den Akten noch ihren Aussagen er- geben sich Anhaltspunkte dafür, dass sie für den Fall einer Ausschaffung nach Kolumbien dort mit beachtlicher Wahrscheinlichkeit einer nach Art. 3 EMRK oder Art. 1 FoK verbotenen Strafe oder Behandlung ausgesetzt wäre. Auch aus den Akten ihrer Mutter geht keine solche konkrete Gefähr- dung hervor. Schliesslich lässt auch die allgemeine Menschenrechtssitua- tion in Kolumbien den Wegweisungsvollzug zum heutigen Zeitpunkt nicht als unzulässig erscheinen. Nach dem Gesagten ist der Vollzug der Weg- weisung sowohl im Sinne der asyl- als auch der völkerrechtlichen Bestim- mungen zulässig.</w:t>
      </w:r>
    </w:p>
    <w:p>
      <w:r>
        <w:rPr>
          <w:b/>
        </w:rPr>
        <w:t>E. 5.4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Zur Begründung der Zumutbarkeit des Wegweisungsvollzugs führte die Vo- rinstanz an, weder die in Kolumbien herrschende politische Situation noch andere Gründe würden gegen die Zumutbarkeit der Rückführung in den Heimatstaat sprechen. Gemäss ihren eigenen Angaben sei sie in Kolum-</w:t>
      </w:r>
    </w:p>
    <w:p>
      <w:r>
        <w:t>D-4711/2022 Seite 7 bien berufstätig gewesen und habe gemeinsam mit ihrer Mutter den Le- bensunterhalt bestreiten können, auch wenn sie gewisse Einbussen – wie den Abbruch des Studiums aus finanziellen Gründen – in Kauf habe neh- men müssen. Sie verfüge in Kolumbien mit den Verwandten ihrer Mutter zudem über ein Beziehungsnetz, welches ihr bei einem Neubeginn finan- ziell behilflich sein könne. Da auch keine konkreten Hinweise auf eine dro- hende medizinische Notlage oder eine existenzbedrohende Situation vor- handen seien, erweise sich der Vollzug der Wegweisung als zumutbar. Das Gericht schliesst sich der Einschätzung der Vorinstanz an. Nichts deu- tet darauf hin, dass eine Rückkehr nach Kolumbien zum heutigen Zeitpunkt unzumutbar, oder mit einer medizinischen Notlage beziehungsweise exis- tenzbedrohenden Situation verbunden wäre. Die Beschwerdeführerin ist gemäss eigenen Aussagen – neben Migräneanfällen und einer Gastritis – guter Gesundheit (vgl. SEM-eAkte […] -13/10 [nachfolgend A13/10] F5 f.). Auch sei sie beruflich aufgestiegen und verfüge über viel Arbeitserfahrung (vgl. A13/10 F19 f.). Es kann daher auf die diesbezüglichen zutreffenden Erwägungen der Vorinstanz verwiesen werden. Nach dem Gesagten er- weist sich der Vollzug der Wegweisung auch als zumutbar.</w:t>
      </w:r>
    </w:p>
    <w:p>
      <w:r>
        <w:rPr>
          <w:b/>
        </w:rPr>
        <w:t>E. 5.5</w:t>
      </w:r>
    </w:p>
    <w:p>
      <w:r>
        <w:t>Die Beschwerdeführerin verfügt über einen gültigen Reisepass, wes- halb der Vollzug der Wegweisung auch als möglich zu bezeichnen ist (Art. 83 Abs. 2 AIG).</w:t>
      </w:r>
    </w:p>
    <w:p>
      <w:r>
        <w:rPr>
          <w:b/>
        </w:rPr>
        <w:t>E. 5.6</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w:t>
      </w:r>
    </w:p>
    <w:p>
      <w:r>
        <w:t>Nach den obenstehenden Erwägungen haben sich die Rechtsbegehren als aussichtslos erwiesen, weswegen das Gesuch um Gewährung der unent- geltlichen Prozessführung und amtlichen Rechtsverbeiständung unbese- hen der finanziellen Verhältnisse der Beschwerdeführerin abzuweisen ist (Art. 65 Abs. 1 VwVG).</w:t>
      </w:r>
    </w:p>
    <w:p>
      <w:r>
        <w:t>D-4711/2022 Seite 8</w:t>
      </w:r>
    </w:p>
    <w:p>
      <w:r>
        <w:rPr>
          <w:b/>
        </w:rPr>
        <w:t>E. 8</w:t>
      </w:r>
    </w:p>
    <w:p>
      <w:r>
        <w:t>Bei diesem Ausgang des Verfahrens wären die Kosten der Beschwerdeführerin aufzuerlegen (Art. 63 Abs. 1 VwVG). Da das vorlie- gende Verfahren koordiniert mit demjenigen ihrer Mutter (D-4660/2022) be- handelt wurde, die beiden Sachverhalte in einem engen persönlichen und sachlichen Zusammenhang stehen und im Verfahren D-4660/2022 Verfah- renskosten erhoben worden sind, ist im vorliegenden Verfahren auf die Er- hebung von Verfahrenskosten zu verzichten (Art. 63 Abs. 1 Satz 3 VwVG).</w:t>
      </w:r>
    </w:p>
    <w:p>
      <w:r>
        <w:t>(Dispositiv nächste Seite)</w:t>
      </w:r>
    </w:p>
    <w:p>
      <w:r>
        <w:t>D-4711/2022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