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D-4711/2015 vom 11. August 2015</w:t>
      </w:r>
    </w:p>
    <w:p>
      <w:r>
        <w:t>Bundesverwaltungsgericht, 2015-08-11, DE</w:t>
      </w:r>
    </w:p>
    <w:p>
      <w:r>
        <w:rPr>
          <w:b/>
        </w:rPr>
        <w:t xml:space="preserve">Quelle: </w:t>
      </w:r>
      <w:r>
        <w:t>https://mcp.opencaselaw.ch/entscheid/bvger_D-4711_2015</w:t>
      </w:r>
    </w:p>
    <w:p>
      <w:r>
        <w:t>FR: TAF D-4711/2015 du 11 août 2015</w:t>
      </w:r>
    </w:p>
    <w:p>
      <w:r>
        <w:t>IT: TAF D-4711/2015 del 11 agosto 2015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1.3</w:t>
      </w:r>
    </w:p>
    <w:p>
      <w:r>
        <w:t>Parteieingaben vor den Behörden des Bundes sind grundsätzlich in einer schweizerischen Amtssprache abzufassen (Art. 70 Abs. 1 BV und Art. 33a Abs. 1 VwVG). Aus prozessökonomischen Gründen wurde vorliegend auf eine Rückweisung der englischsprachigen Beschwerdeeingabe verzichtet, zumal diese von vornherein verständlich ist. Der vorliegende Entscheid ergeht indessen in deutscher Sprache (Art. 33a Abs. 2 VwVG i.V.m. Art. 6 AsylG).</w:t>
      </w:r>
    </w:p>
    <w:p>
      <w:r>
        <w:rPr>
          <w:b/>
        </w:rPr>
        <w:t>E. 1.4</w:t>
      </w:r>
    </w:p>
    <w:p>
      <w:r>
        <w:t>Auf die im Übrigen frist- und formgerecht eingereichte Beschwerde ist somit - unter Vorbehalt der nachfolgenden Erwägungen - einzutreten (Art. 105 und Art. 108 Abs. 2 AsylG sowie Art. 52 Abs. 1 VwVG).</w:t>
      </w:r>
    </w:p>
    <w:p>
      <w:r>
        <w:rPr>
          <w:b/>
        </w:rPr>
        <w:t>E. 1.5</w:t>
      </w:r>
    </w:p>
    <w:p>
      <w:r>
        <w:t>Es bleibt festzuhalten, dass aufgrund der Aktenlage - wie vom SEM zu Recht erkannt - kein Anlass zur Annahme besteht, der Beschwerdeführer wäre aus gesundheitlichen Gründen in seiner Prozessfähigkeit eingeschränkt.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Vorliegend wurde der Beschwerde die von Gesetzes wegen zukommende aufschiebende Wirkung (Art. 42 AsylG) nicht entzogen, weshalb auf die Anträge in der Rechtsmitteleingabe betreffend Wiederherstellung der aufschiebenden Wirkung unter Untersagung der Kontaktaufnahme und Datenweitergabe an das Heimat- oder Herkunftsland im Hinblick auf die Vollzugsorganisation nicht einzutreten ist.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zugefügt zu werden drohen (vgl. BVGE 2008/4 E. 5.2 [S. 37]).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vielmehr müssen konkrete Indizien vorliegen, die den Eintritt der erwarteten Benachteiligung als wahrscheinlich und dementsprechend die Furcht davor als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6</w:t>
      </w:r>
    </w:p>
    <w:p>
      <w:r>
        <w:t>Das SEM erachtete die vom Beschwerdeführer geltend gemachten Fluchtgründe als den Anforderungen an die Flüchtlingseigenschaft gemäss Art. 3 AsylG nicht genügend. Dieser Einschätzung ist beizupflichten. Zur Vermeidung von Wiederholungen kann vorab auf die nicht zu beanstandenden Ausführungen in der angefochtenen Verfügung verwiesen werden. Der Rechtsmitteleingabe sind keine stichhaltigen Entgegnungen zu entnehmen, die geeignet wären, eine Änderung der angefochtenen Verfügung hinsichtlich der Flüchtlingseigenschaft und des Asyls (und des Wegweisungsvollzugs) herbeizuführen.</w:t>
      </w:r>
    </w:p>
    <w:p>
      <w:r>
        <w:rPr>
          <w:b/>
        </w:rPr>
        <w:t>E. 6.1</w:t>
      </w:r>
    </w:p>
    <w:p>
      <w:r>
        <w:t>Das SEM hat in zutreffender Weise festgestellt, dass der Beschwerdeführer keine asylrechtlich relevante Verfolgung durch die US-Behörden vorzubringen vermochte. Verkehrs- beziehungsweise Grenzkontrollen und die polizeiliche Überprüfung des Vorliegens eines Waffenscheins beim Tragen von Waffen in der Öffentlichkeit sind rechtsstaatlich legitimen Zwecken dienende behördliche Massnahmen. Die strafrechtliche Ahndung des Verhaltens des Beschwerdeführers bei der Grenzkontrolle vom 10. Oktober 2009 (Nichtbefolgung der Aufforderung zur Fenster-/Tür­öffnung und Flucht vor der Kontrolle durch schnelles Wegfahren) ist aus rechtsstaatlicher Sicht ebenfalls nicht zu beanstanden. Das entsprechende Verhalten hätte auch nach der schweizerischen Rechtslage ein Strafverfahren nach sich gezogen. Der strafrechtlichen Verurteilung des Beschwerdeführers lag kein flüchtlingsrechtlich relevantes Verfolgungsmotiv nach Art. 3 AsylG zugrunde; er wurde nicht wegen seiner Rasse, Religion, Nationalität, Zugehörigkeit zu einer bestimmten sozialen Gruppe oder wegen seiner politischen Anschauungen zu einer Haftstrafe verurteilt, sondern wegen seines Verhaltens bei der besagten Grenzkontrolle. Die Schuldfrage kann nicht Gegenstand des vorliegenden Asylverfahrens sein; für deren Beurteilung sind die US-Behörden zuständig. Mit der für den heutigen Zeitpunkt geäusserten subjektiven Angst vor allfälligen weiteren (Verkehrs-)Kontrollen und einer diesbezüglichen harschen Behandlung aufgrund des Strafregistereintrags, vermag der Beschwerdeführer die Flüchtlingseigenschaft gemäss Art. 3 AsylG ebenfalls nicht zu begründen. Die heimatlichen Behörden haben dem Beschwerdeführer erst kürzlich neue Dokumente ausgestellt (Reisepass ausgestellt am [...] 2015, Führerschein ausgestellt am [...] 2015) und er konnte problemlos am 8. Juli 2015 über den Flughafen B._______ ausreisen. Konkrete Anhaltspunkte, dass er in den USA in absehbarer Zukunft staatliche Verfolgungsmassnahmen asylrelevanten Ausmasses zu gewärtigen hätte, liegen nicht vor. Mit den allgemeinen Vorbringen in der Rechtsmitteleingabe zum Ablauf von Verkehrskontrollen und Übergriffen seitens von US-Polizeibeamten sowie der verschärften Rechtslage nach den Terroranschlägen vom 11. September 2001 vermag der Beschwerdeführer den Anforderungen an eine begründete Furcht vor ihm in absehbarer Zukunft drohender asylbeachtlicher, individueller Verfolgung im Sinne von Art. 3 AsylG nicht zu genügen.</w:t>
      </w:r>
    </w:p>
    <w:p>
      <w:r>
        <w:rPr>
          <w:b/>
        </w:rPr>
        <w:t>E. 6.2</w:t>
      </w:r>
    </w:p>
    <w:p>
      <w:r>
        <w:t>Der Beschwerdeführer erfüllt damit die Flüchtlingseigenschaft gemäss Art. 3 AsylG nicht. Das SEM hat das Asylgesuch zu Recht abgelehnt.</w:t>
      </w:r>
    </w:p>
    <w:p>
      <w:r>
        <w:rPr>
          <w:b/>
        </w:rPr>
        <w:t>E. 7</w:t>
      </w:r>
    </w:p>
    <w:p>
      <w:r>
        <w:t>Lehnt das Staatssekretariat das Asylgesuch ab oder tritt es darauf nicht ein, so verfügt es in der Regel die Wegweisung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dem es nicht gelungen ist, eine asylrechtlich beachtliche Verfolgung darzulegen, würde bei einer Rückkehr in sein Heimatland eine menschenrechtswidrige Behandlung drohen. Auch die allgemeine Menschenrechtssituation in den USA lässt den Wegweisungsvollzug zum heutigen Zeitpunkt nicht als unzulässig erscheinen. An dieser Einschätzung vermögen die Vorbringen in der Rechtsmitteleingabe zur Menschenrechtslage in den USA nicht zu ändern. Hinsichtlich der gesundheitlichen Probleme des Beschwerdeführers ist darauf hinzuweisen, dass der Wegweisungsvollzug nur dann einen Verstoss gegen Art. 3 EMRK darstellen kann, wenn die betroffene Person sich in einem fortgeschrittenen oder terminalen Krankheitsstadium und bereits in Todesnähe befindet (vgl. BVGE 2011/9 E. 7 mit Hinweisen auf die Praxis des EGMR). Dies trifft auf die Situation des Beschwerdeführers offensichtlich nicht zu.</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lassen weder die allgemeine Lage in den USA noch individuelle Gründe auf eine konkrete Gefährdung des Beschwerdeführers im Falle einer Rückkehr schliessen. Es liegen keine konkreten Anhaltspunkte dafür vor, dass der Beschwerdeführer aus individuellen Gründen wirtschaftlicher, sozialer oder gesundheitlicher Natur bei einer Rückkehr in die USA in eine existenzbedrohende Situation geraten würde. Er erhält gemäss eigenen Angaben vom amerikanischen Staat finanzielle Unterstützung und hat Zugang zur benötigten fachärztlichen Behandlung und Versorgung. Zudem verfügt er in den USA über ein ihn unterstützendes Beziehungsnetz. Im Übrigen war er in der Lage, für die Flugreise in die Schweiz aufzukommen, und führte Barmittel mit sich. Es ist daher nicht davon auszugehen, er würde bei einer Rückkehr in eine seine Existenz vernichtende Situation geraten, die als konkrete Gefährdung im Sinne der zu beachtenden Bestimmungen zu werten wäre (Art. 83 Abs. 4 AuG).</w:t>
      </w:r>
    </w:p>
    <w:p>
      <w:r>
        <w:rPr>
          <w:b/>
        </w:rPr>
        <w:t>E. 8.3</w:t>
      </w:r>
    </w:p>
    <w:p>
      <w:r>
        <w:t>Schliesslich obliegt es dem Beschwerdeführer, der über einen gültigen Reisepass verfügt, sich bei der zuständigen Vertretung des Heimatstaates allenfalls weitere, für eine Rückkehr notwendige Reisedokumente zu beschaffen (Art. 8 Abs. 4 AsylG; vgl. dazu auch BVGE 2008/34 E. 12). Der Vollzug der Wegweisung ist deshalb auch als möglich zu bezeichnen (Art. 83 Abs. 2 AuG).</w:t>
      </w:r>
    </w:p>
    <w:p>
      <w:r>
        <w:rPr>
          <w:b/>
        </w:rPr>
        <w:t>E. 8.4</w:t>
      </w:r>
    </w:p>
    <w:p>
      <w:r>
        <w:t>Der durch die Vorinstanz verfügte Wegweisungsvollzug ist damit zu bestätigen. Eine Anordnung der vorläufigen Aufnahme fällt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Mit vorliegendem Urteil ist das Beschwerdeverfahren abgeschlossen, weshalb sich der Antrag auf Verzicht auf die Erhebung eines Kostenvorschusses als gegenstandslos erweist.</w:t>
      </w:r>
    </w:p>
    <w:p>
      <w:r>
        <w:rPr>
          <w:b/>
        </w:rPr>
        <w:t>E. 11.1</w:t>
      </w:r>
    </w:p>
    <w:p>
      <w:r>
        <w:t>Da die Beschwerdebegehren als aussichtslos zu bezeichnen waren, sind die Voraussetzungen zur Gewährung der unentgeltlichen Prozessführung gemäss Art. 65 Abs. 1 VwVG und unentgeltlichen Rechtsverbeiständung im Sinne von Art. 110a Abs. 1 Bst. a AsylG nicht erfüllt, weshalb die entsprechenden Gesuche abzuweisen sind.</w:t>
      </w:r>
    </w:p>
    <w:p>
      <w:r>
        <w:rPr>
          <w:b/>
        </w:rPr>
        <w:t>E. 11.2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