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D-4711/2008 vom 25. Juli 2011</w:t>
      </w:r>
    </w:p>
    <w:p>
      <w:r>
        <w:t>Bundesverwaltungsgericht, 2011-07-25, DE</w:t>
      </w:r>
    </w:p>
    <w:p>
      <w:r>
        <w:rPr>
          <w:b/>
        </w:rPr>
        <w:t xml:space="preserve">Quelle: </w:t>
      </w:r>
      <w:r>
        <w:t>https://mcp.opencaselaw.ch/entscheid/bvger_D-4711_2008</w:t>
      </w:r>
    </w:p>
    <w:p>
      <w:r>
        <w:t>FR: TAF D-4711/2008 du 25 juillet 2011</w:t>
      </w:r>
    </w:p>
    <w:p>
      <w:r>
        <w:t>IT: TAF D-4711/2008 del 25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solcher Ausnahmefall liegt nicht vor.</w:t>
      </w:r>
    </w:p>
    <w:p>
      <w:r>
        <w:rPr>
          <w:b/>
        </w:rPr>
        <w:t>E. 1.2</w:t>
      </w:r>
    </w:p>
    <w:p>
      <w:r>
        <w:t>Das Verfahren richtet sich nach dem VwVG, dem VGG und dem BGG, soweit das AsylG nichts anderes bestimmt (Art. 37 VGG und Art. 6 AsylG).</w:t>
      </w:r>
    </w:p>
    <w:p>
      <w:r>
        <w:rPr>
          <w:b/>
        </w:rPr>
        <w:t>E. 1.3</w:t>
      </w:r>
    </w:p>
    <w:p>
      <w:r>
        <w:t>Das genaue Datum der Eröffnung der BFM-Verfügung vom 27. Mai 2008 (auch Versanddatum gemäss Ausgangsstempel BFM) ist nicht bekannt. Es ist aber ohne Weiteres davon auszugehen, dass die auf den 23. Juni 2008 datierte und am 26. Juni 2008 bei der Botschaft eingegangene Beschwerde (Art. 21 Abs. 1 VwVG, wonach vorliegend das Datum der Übergabe an eine schweizerische diplomatische oder konsularische Vertretung massgebend ist) rechtzeitig eingereicht worden ist.</w:t>
      </w:r>
    </w:p>
    <w:p>
      <w:r>
        <w:rPr>
          <w:b/>
        </w:rPr>
        <w:t>E. 1.4</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Die Beschwerde ist somit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3.2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2.2.-g.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4.1. Die Beschwerdeführerin wiederholt auf Beschwerdeebene die bereits im erstinstanzlichen Verfahren vorgetragenen Verfolgungsgründe. Sie beruft sich dabei insbesondere auf ihre frühere Tätigkeit für die TRO und die damit verbundene Vermutung der Unterstützung der LTTE. Sie verweist auf ihre Befragung im CID-Hauptquartier in Colombo vom (...) 2008 und dass sie damals ein Schriftstück habe unterzeichnen müssen, dessen Inhalt ihr mangels Kenntnis der singhalesischen Sprache nicht bekannt sei. Als ehemalige Mitarbeiterin der TRO sei es ihr nicht möglich, sich mit ihrem Ehemann nach D._______ zu begeben. 4.2. Das Bundesverwaltungsgericht sieht - wie schon das BFM - keinen Anlass, an der Darstellung der Beschwerdeführerin, sie habe für die TRO gearbeitet, zu zweifeln. Es ist davon auszugehen, dass das Büro der TRO in B._______ im (...) 2007 geschlossen wurde und die Beschwerdeführerin und ihr Ehemann am (...) 2007 von den Sicherheitsbehörden zu Hause aufgesucht und befragt wurden. Nachvollziehbar erscheint im Weiteren, dass die Beschwerdeführerin zumindest im Zeitpunkt der Gesuchstellung und der Beschwerdeerhebung unter einer gewissen Beobachtung stand. 4.3. Ebenso geht das Bundesverwaltungsgericht allerdings mit der Vorinstanz davon aus, dass im zu beurteilenden Fall weder die Voraussetzungen für eine Asylgewährung noch für die Erteilung einer Einreisebewilligung erfüllt sind. Zur Vermeidung unnötiger Wiederholungen kann deshalb zunächst auf die zutreffenden vorinstanzlichen Ausführungen sowohl in der angefochtenen Verfügung als auch in der Vernehmlassung vom 11. August 2008 verwiesen werden. Hinzu kommt, dass sich die aktuelle Lage in Sri Lanka in der Zwischenzeit massgeblich verändert hat. Der Bürgerkrieg zwischen der sri-lankischen Regierung und den separatistischen LTTE ist im Mai 2009 mit der Niederlage der LTTE zu Ende gegangen. Das Land befindet sich wieder vollständig unter Regierungskontrolle und es sind keine terroristischen Aktivitäten der LTTE mehr bekannt. Zwar wurden die staatlichen Sicherheitsmassnahmen nach dem militärischen Sieg der sri-lankischen Armee nur langsam gelockert. Nachdem jedoch einerseits die Beschwerdeführerin im (...) 2008 nach ihrer Befragung auf dem Hauptquartier des CID wieder entlassen wurde und anderseits ihr Ehemann offenbar zur Ausübung seiner Erwerbstätigkeit ohne Weiteres in eine andere Provinz reisen konnte, ist kein besonderes Risikoprofil der Beschwerdeführerin ersichtlich. Insgesamt ist der Schluss zu ziehen, dass die Beschwerdeführerin von der teilweise schwierigen Situation im Heimatstaat wie die anderen Mitbewohner betroffen (gewesen) ist. Dass es dabei zu Behelligungen kommen konnte und kann, ist zwar nicht auszuschliessen. Allerdings kann nicht von Nachteilen ausgegangen werden, die den weiteren Verbleib der Beschwerdeführerin in ihrem Heimatstaat als unzumutbar erscheinen (vgl. Art. 20 Abs. 2 AsylG) oder die gar auf eine unmittelbare Gefahr für Leib und Leben schliessen liessen. 4.4. Unter diesen gesamten Umständen hat die Vorinstanz zu Recht die Erteilung der Einreisebewilligung verweigert und das Asylgesuch der Beschwerdeführerin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grundsätzlich der Beschwerdeführerin aufzuerlegen (Art. 63 Abs. 1 VwVG). Aus verfahrens-ökonomischen Gründen ist in Anwendung von Art. 63 Abs. 1 in fine VwVG und Art. 2 und 3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