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D-4710/2010 vom 5. August 2010</w:t>
      </w:r>
    </w:p>
    <w:p>
      <w:r>
        <w:t>Bundesverwaltungsgericht, 2010-08-05, DE</w:t>
      </w:r>
    </w:p>
    <w:p>
      <w:r>
        <w:rPr>
          <w:b/>
        </w:rPr>
        <w:t xml:space="preserve">Quelle: </w:t>
      </w:r>
      <w:r>
        <w:t>https://mcp.opencaselaw.ch/entscheid/bvger_D-4710_2010</w:t>
      </w:r>
    </w:p>
    <w:p>
      <w:r>
        <w:t>FR: TAF D-4710/2010 du 5 août 2010</w:t>
      </w:r>
    </w:p>
    <w:p>
      <w:r>
        <w:t>IT: TAF D-4710/2010 del 5 agosto 2010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am 7. Juli 2010 in gleicher Höhe geleisteten Kostenvorschuss verrechnet.</w:t>
      </w:r>
    </w:p>
    <w:p>
      <w:r>
        <w:rPr>
          <w:b/>
        </w:rPr>
        <w:t>E. 3</w:t>
      </w:r>
    </w:p>
    <w:p>
      <w:r>
        <w:t>Es wird festgestellt, dass der Beschwerdeführer seinen Anspruch auf Familiennachzug seiner Ehefrau B._______ bei der hiefür zuständigen kantonalen Migrationsbehörde (Ausländeramt des Kantons St. Gallen, Oberer Graben 32, 9001 St. Gallen) geltend zu machen hat.</w:t>
      </w:r>
    </w:p>
    <w:p>
      <w:r>
        <w:rPr>
          <w:b/>
        </w:rPr>
        <w:t>E. 4</w:t>
      </w:r>
    </w:p>
    <w:p>
      <w:r>
        <w:t>Dieses Urteil geht an: den Beschwerdeführer (Einschreiben; Beilage: 3 Farbfotos) das BFM, Abteilung Aufenthalt, mit den Akten Ref.-Nr. N (per Kurier; in Kopie) (die zuständige kantonale Behörde)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