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D-4705/2018 vom 29. August 2018</w:t>
      </w:r>
    </w:p>
    <w:p>
      <w:r>
        <w:t>Bundesverwaltungsgericht, 2018-08-29, DE</w:t>
      </w:r>
    </w:p>
    <w:p>
      <w:r>
        <w:rPr>
          <w:b/>
        </w:rPr>
        <w:t xml:space="preserve">Quelle: </w:t>
      </w:r>
      <w:r>
        <w:t>https://mcp.opencaselaw.ch/entscheid/bvger_D-4705_2018</w:t>
      </w:r>
    </w:p>
    <w:p>
      <w:r>
        <w:t>FR: TAF D-4705/2018 du 29 août 2018</w:t>
      </w:r>
    </w:p>
    <w:p>
      <w:r>
        <w:t>IT: TAF D-4705/2018 del 29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Aufgrund der Zuweisung der Beschwerdeführenden in die Testphase des Verfahrenszentrums E._______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(Art. 112b Abs. 3 AsylG i.V.m. Art. 38 TestV; Art. 105 AsylG i.V.m. Art. 37 VGG und Art. 52 Abs. 1 VwVG).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vorliegend auf die Durchführung eines Schriftenwechsels verzichtet.</w:t>
      </w:r>
    </w:p>
    <w:p>
      <w:r>
        <w:rPr>
          <w:b/>
        </w:rPr>
        <w:t>E. 4.1</w:t>
      </w:r>
    </w:p>
    <w:p>
      <w:r>
        <w:t>Eingangs ist darauf hinzuweisen, dass es sich bei der angefochtenen Verfügung vom 10. August 2018 um einen Nichteintretensentscheid nach Art. 31a Abs. 1 Bst. b AsylG (Dublin-Verfahren) und nicht wie in der Rechtsmitteleingabe vom 16. August 2018 fälschlicherweise ausgeführt, um einen Wegweisungsentscheid in einen sicheren Drittstaat (Art. 31a Abs. 1 Bst. a AsylG), in dem den Beschwerdeführenden subsidiärer Schutz gewährt worden sei (vgl. Beschwerdeschrift S. 3 oben), handelt.</w:t>
      </w:r>
    </w:p>
    <w:p>
      <w:r>
        <w:rPr>
          <w:b/>
        </w:rPr>
        <w:t>E. 4.2</w:t>
      </w:r>
    </w:p>
    <w:p>
      <w:r>
        <w:t>Ferner ist hinsichtlich der Rüge der Beschwerdeführenden, das SEM habe den Entscheid nur gerade sieben Tage nach ihrer Stellungnahme vom 3. August 2018 gefällt (vgl. Beschwerdeschrift S. 5), darauf hinzuweisen, dass das SEM aufgrund der Zuweisung der Beschwerdeführenden in die Testphase des Verfahrenszentrums E._______ gehalten war, die für das entsprechende Verfahren vorgesehenen Fristen einzuhalten (vgl. TestV). Das SEM hat den Sachverhalt betreffend die medizinischen Probleme der Beschwerdeführenden 2-4 hinreichend abgeklärt. Wie von den Beschwerdeführenden beantragt, hat es vor der Entscheidfällung das Resultat der (...) der Beschwerdeführerin 2 abgewartet und die gesundheitlichen Vorbringen in die Begründung einbezogen, weshalb dem SEM weder eine mangelhafte Sachverhaltsermittlung noch eine Verletzung der Begründungspflicht vorgeworfen werden kann. In psychiatrische Behandlung begab sich die Beschwerdeführerin 2 erst nach der Entscheideröffnung.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Vorliegend ist den Akten zu entnehmen, dass die Beschwerdeführenden am 30. Mai 2018 in Rumänien als Asylsuchende registriert wurden. Das SEM ersuchte deshalb die rumänischen Behörden am 17. Juli 2018 um Wiederaufnahme der Beschwerdeführenden gestützt auf Art. 18 Abs. 1 Bst. b Dublin-III-VO. Die rumänischen Behörden stimmten dem Gesuch um Übernahme am 31. Juli 2018 zu. Der Einwand der Beschwerdeführenden 1 und 2, sie hätten in Rumänien keine Asylgesuche gestellt, entspricht nicht dem Eintrag in der Eurodac-Datenbank (Asylgesuchstellung vom 30. Mai 2018) und ist im Übrigen bezüglich der Zuständigkeitsfrage unbehelflich, da bereits die von den Beschwerdeführenden nicht bestrittene Einreise in das Hoheitsgebiet der Dublin-Staaten die Zuständigkeit Rumäniens für die Durchführung des Asyl- und Wegweisungsverfahrens begründet (Art. 18 Abs. 1 Bst. a Dublin-III-VO). Mit dem Hinweis auf in der Schweiz wohnhafte, nicht zur Kernfamilie gehörende Verwandte (Schwester, Bruder, Cousin väterlicherseits [vom SEM nicht identifizierbar; vgl. A41 S. 2]), vermag die Beschwerdeführerin 2 keine Ansprüche aus Art. 16 Abs. 1 Dublin-III-VO darzulegen.</w:t>
      </w:r>
    </w:p>
    <w:p>
      <w:r>
        <w:rPr>
          <w:b/>
        </w:rPr>
        <w:t>E. 6.2</w:t>
      </w:r>
    </w:p>
    <w:p>
      <w:r>
        <w:t>Die grundsätzliche Zuständigkeit Rumäniens für die Durchführung des Asyl- und Wegweisungsverfahrens der Beschwerdeführenden ist somit gegeben. Der Wunsch der Beschwerdeführenden um Verbleib in der Schweiz vermag daran nichts zu ändern, zumal die Dublin-III-VO den Schutzsuchenden kein Recht einräumt, den ihren Antrag prüfenden Staat selber auszuwählen (vgl. auch BVGE 2010/40 E. 8.3).</w:t>
      </w:r>
    </w:p>
    <w:p>
      <w:r>
        <w:rPr>
          <w:b/>
        </w:rPr>
        <w:t>E. 7.1</w:t>
      </w:r>
    </w:p>
    <w:p>
      <w:r>
        <w:t>Im Lichte von Art. 3 Abs. 2 Dublin-III-VO ist sodann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7.2</w:t>
      </w:r>
    </w:p>
    <w:p>
      <w:r>
        <w:t>Rumänien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(vgl. hierzu etwa die Urteile des BVGer D-5665/2017 vom 13. März 2018, D-7213/2017 vom 4. Januar 2018 und E-6221/2017 vom 22. Dezember 2017). Es liegen somit keine wesentlichen Gründe für die Annahme vor, das Asylverfahren und die Aufnahmebedingungen für Antragsteller in Rumänien würden systemische Schwachstellen aufweisen, die eine Gefahr einer unmenschlichen oder entwürdigenden Behandlung im Sinne des Artikels 4 der EU-Grundrechtecharte mit sich bringen. Unter diesen Umständen ist die Anwendung von Art. 3 Abs. 2 Dublin-III-VO nicht gerechtfertigt.</w:t>
      </w:r>
    </w:p>
    <w:p>
      <w:r>
        <w:rPr>
          <w:b/>
        </w:rPr>
        <w:t>E. 8.1</w:t>
      </w:r>
    </w:p>
    <w:p>
      <w:r>
        <w:t>Die Beschwerdeführenden fordern mit ihren Vorbringen, wonach Rumänien sich nicht gebührend um Asylsuchende kümmere, sie teils an gesundheitlichen Problemen leiden würden und in Rumänien keine medizinische Versorgung existiere,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w:t>
      </w:r>
    </w:p>
    <w:p>
      <w:r>
        <w:t>Unter dem Blickwinkel von Art. 17 Abs. 1 Dublin-III-VO ist zu prüfen, ob im konkreten Fall bei einer Überstellung eine Verletzung der EMRK oder anderer internationaler Verträge drohenden würde, welche die Schweiz zur Anwendung der Souveränitätsklausel und zur Prüfung der Asylgesuche der Beschwerdeführenden verpflichten würde (vgl. BVGE 2010/40 E. 5 und 7.2). Zwar gilt im Rahmen des Dublin-Systems die Vermutung, dass alle Mitgliedstaaten des Dublin-Raums ihren völkerrechtlichen Verpflichtungen nachkommen. Diese Vermutung kann jedoch durch ernsthafte Hinweise darauf, dass die Behörden des zuständigen Staats im konkreten Fall das internationale Recht nicht respektieren, umgestossen werden (vgl. BVGE 2010/40 E. 7.4 f.).</w:t>
      </w:r>
    </w:p>
    <w:p>
      <w:r>
        <w:rPr>
          <w:b/>
        </w:rPr>
        <w:t>E. 8.3</w:t>
      </w:r>
    </w:p>
    <w:p>
      <w:r>
        <w:t>Vorliegend vermögen die Beschwerdeführenden kein konkretes und ernsthaftes Risiko darzutun, die rumänischen Behörden, die ihrer Wiederaufnahme am 31. Juli 2018 ausdrücklich zugestimmt haben, würden sich weigern, sie wieder aufzunehmen und ihren Antrag auf internationalen Schutz unter Einhaltung der Regeln der Verfahrensrichtlinie zu prüfen. Den Akten sind denn auch keine Gründe für die Annahme zu entnehmen, Rumänien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vermögen die Beschwerdeführenden mit ihrem Einwand, während der polizeilichen Anhaltung in Rumänien zwecks Daktyloskopierung nicht korrekt behandelt worden zu sein, und der pauschalen Behauptung, Rumänien kümmere sich nicht gebührend um Asylsuchende, nicht darzulegen, Rumänien würde ihnen dauerhaft die Rechte, die ihnen aus den Verfahrens- und Aufnahmerichtlinien zustehen, vorenthalten, zumal den Beschwerdeführenden laut den Angaben der Beschwerdeführenden 1 und 2 bei den Befragungen vom 24. Juli 2018 von den rumänischen Behörden nach der Daktyloskopierung eine Unterkunft zugewiesen wurde, welche sie indes bereits nach wenigen Tagen verlassen und sich fortan bis zur Weiterreise in die Schweiz in einer Privatwohnung aufgehalten und keinen Kontakt mehr mit den rumänischen Behörden gepflegt hätten (vgl. A40 S. 1 und A41 S. 1). Bei einer allfälligen vorübergehenden Einschränkung könnten sie sich im Übrigen nötigenfalls an die rumänischen Behörden wenden und die ihnen zustehenden Aufnahmebedingungen auf dem Rechtsweg einfordern. Aufgrund der Aktenlage besteht kein Grund zur Annahme, die Beschwerdeführenden würden in Rumänien wegen fehlenden Zugangs zum Asylverfahren oder ungenügenden Aufenthaltsbedingungen in eine existenzielle Not geraten.</w:t>
      </w:r>
    </w:p>
    <w:p>
      <w:r>
        <w:rPr>
          <w:b/>
        </w:rPr>
        <w:t>E. 8.4</w:t>
      </w:r>
    </w:p>
    <w:p>
      <w:r>
        <w:t>Hinsichtlich des Einwands, die Überstellung nach Rumänien würde sie aufgrund dort fehlender medizinischer Versorgung einer Gefahr für ihre Gesundheit aussetzen und damit Art. 3 EMRK verletzen,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Kann eine Verletzung von Art. 3 EMRK nicht ausgeschlossen werden, ist eine Garantie hinsichtlich der individuell benötigten medizinischen Versorgung einzuholen (vgl. Urteil des EGMR Paposhvili gegen Belgien, §§ 187-191). Vorliegend ist eine solche Situation aufgrund der Aktenlage nicht anzunehmen. Die aktenkundigen Arztberichte bezüglich der Kinder vom 31. Juli 2018 ergaben bei beiden einen guten Allgemeinzustand (vgl. A51/7-11). Die bei der Beschwerdeführerin 2 am 31. Juli 2018 durchgeführte (...) ergab keinen auffälligen Befund (vgl. A52/2). Das SEM hat zutreffend festgestellt, dass diesbezügliche Kontrollen oder Nachbehandlungen in Rumänien durchgeführt werden können. Die auf Beschwerdeebene vorgebrachte Verschlechterung des psychischen Zustands der Beschwerdeführerin 2 infolge Eröffnung des vorinstanzlichen Nichteintretensentscheids am 10. August 2018 vermag einer Überstellung nach Rumänien ebenfalls nicht entgegenzustehen. Die vom Oberarzt und einer Psychologin der (...) in F._______ am 14. August 2018 ausgestellte Aufenthaltsbestätigung zeigt, dass die Beschwerdeführerin 2 seit dem 11. August 2018 stationär behandelt wird und gegenwärtig psychologischer Betreuung bedarf. Die diesbezügliche Ansetzung einer Frist zur Nachreichung eines weiteren Arztberichts ist nicht angezeigt, zumal der Zielstaat Rumänien über eine ausreichende medizinische Infrastruktur verfügt und davon ausgegangen werden kann, dass dort eine adäquate medizinische Behandlung sichergestellt werden kann (vgl. hierzu das Urteil des BVGer D-5665/2017 vom 13. März 2018 E. 6.5 [Überstellung eines an einer Posttraumatischen Belastungsstörung und einer mittelgradigen depressiven Episode leidenden Gesuchstellers an Rumänien]).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der Beschwerdeführerin 2 bei Bedarf eine adäquate medizinische Behandlung und spezifische Versorgung verweigern würde. Die schweizerischen Behörden, die mit dem Vollzug der angefochten Verfügung beauftragt sind, werden den medizinischen Umständen bei der Bestimmung der konkreten Modalitäten der Überstellung der Beschwerdeführenden Rechnung tragen und die rumänischen Behörden vorgängig in geeigneter Weise über die spezifischen medizinischen Umstände informieren (vgl. Art. 31 f. Dublin-III-VO), so dass diese in der Lage sein werden, allenfalls notwendige Vorkehrungen zeitgerecht zu treffen. Einem allfälligen Risiko einer Dekompensation kann somit mit einer gut vorbereiteten Reise entgegengewirkt werden. Die vorgebrachten gesundheitlichen Probleme der Beschwerdeführenden 2-4 vermögen damit einer Überstellung nach Rumänien nicht entgegenzustehen.</w:t>
      </w:r>
    </w:p>
    <w:p>
      <w:r>
        <w:rPr>
          <w:b/>
        </w:rPr>
        <w:t>E. 8.5</w:t>
      </w:r>
    </w:p>
    <w:p>
      <w:r>
        <w:t>Die Einwände der Beschwerdeführenden vermögen auch unter dem Blickwinkel humanitärer Gründe keine Zuständigkeit der Schweiz zu begründen.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Nach dem Gesagten besteht kein Grund für eine Anwendung der Ermessenklauseln von Art. 17 Dublin-III-VO. Der Vollständigkeit halber ist nochmals festzuhalten, dass die Dublin-III-VO den Schutzsuchenden kein Recht einräumt, den ihren Antrag prüfenden Staat selber auszuwählen (vgl. auch BVGE 2010/45 E. 8.3).</w:t>
      </w:r>
    </w:p>
    <w:p>
      <w:r>
        <w:rPr>
          <w:b/>
        </w:rPr>
        <w:t>E. 8.7</w:t>
      </w:r>
    </w:p>
    <w:p>
      <w:r>
        <w:t>Somit bleibt Rumänien der für die Behandlung der Asylgesuche der Beschwerdeführenden zuständige Mitgliedstaat gemäss Dublin-III-VO. Rumänien ist verpflichtet, das Asylverfahren gemäss Art. 23, 24, 25 und 29 Dublin-III-VO wieder aufzunehmen.</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Rumänien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11</w:t>
      </w:r>
    </w:p>
    <w:p>
      <w:r>
        <w:t>Nach dem Gesagten ist die Beschwerde abzuweisen und die Verfügung des SEM zu bestätigen.</w:t>
      </w:r>
    </w:p>
    <w:p>
      <w:r>
        <w:rPr>
          <w:b/>
        </w:rPr>
        <w:t>E. 12</w:t>
      </w:r>
    </w:p>
    <w:p>
      <w:r>
        <w:t>Das Beschwerdeverfahren ist mit vorliegendem Urteil abgeschlossen, weshalb sich der Antrag auf Gewährung der aufschiebenden Wirkung als gegenstandslos erweist.</w:t>
      </w:r>
    </w:p>
    <w:p>
      <w:r>
        <w:rPr>
          <w:b/>
        </w:rPr>
        <w:t>E. 13</w:t>
      </w:r>
    </w:p>
    <w:p>
      <w:r>
        <w:t>Bei diesem Ausgang des Verfahrens wären die Kosten grundsätzlich den Beschwerdeführenden aufzuerlegen (Art. 63 Abs. 1 VwVG). Nachdem das Verfahren aber nicht als von vornherein aussichtslos zu bezeichnen war und von der prozessualen Bedürftigkeit der Beschwerdeführenden auszugehen ist, ist in Gutheissung des Gesuchs um Gewährung der unentgeltlichen Prozessführung gemäss Art. 65 Abs. 1 VwVG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