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D-4704/2025 vom 28. Mai 2025</w:t>
      </w:r>
    </w:p>
    <w:p>
      <w:r>
        <w:t>Bundesverwaltungsgericht, 2025-05-28, DE</w:t>
      </w:r>
    </w:p>
    <w:p>
      <w:r>
        <w:rPr>
          <w:b/>
        </w:rPr>
        <w:t xml:space="preserve">Quelle: </w:t>
      </w:r>
      <w:r>
        <w:t>https://mcp.opencaselaw.ch/entscheid/bvger_D-4704_2025_d20250528</w:t>
      </w:r>
    </w:p>
    <w:p>
      <w:r>
        <w:t>FR: TAF D-4704/2025 du 28 mai 2025</w:t>
      </w:r>
    </w:p>
    <w:p>
      <w:r>
        <w:t>IT: TAF D-4704/2025 del 28 maggio 2025</w:t>
      </w:r>
    </w:p>
    <w:p>
      <w:pPr>
        <w:pStyle w:val="Heading2"/>
      </w:pPr>
      <w:r>
        <w:t>Regeste</w:t>
      </w:r>
    </w:p>
    <w:p>
      <w:r>
        <w:t>Asyl und Wegweisung | Asyl und Wegweisung; Verfügung des SEM vom 28. Mai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w:t>
      </w:r>
    </w:p>
    <w:p>
      <w:r>
        <w:t>D-4704/2025 Seite 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Die Beschwerdeführer rügen eine Verletzung des rechtlichen Gehörs, der Begründungspflicht und des Untersuchungsgrundsatzes. Sie machen geltend, die Vorinstanz habe das gegen den Beschwerdeführer geführte Strafverfahren wegen Tötungsdelikten, respektive Anleitung und finanzielle Unterstützung vom Ausland hin, vollkommen ausser Acht gelassen und in der angefochtenen Verfügung mit keinem Wort erwähnt, obwohl die ent- sprechenden Dokumente mit Eingabe vom 13. November 2024 eingereicht worden seien. Weiter habe der Beschwerdeführer bei den Anhörungen keine Gelegenheit gehabt, sich zu den asylrelevanten Punkten eingehend zu äussern, sondern sei immer wieder unterbrochen, an ausführlichen Dar- stellungen gehindert und von den wesentlichen Elementen weggelenkt worden. Der Befrager habe ihn darauf hingewiesen, er solle «kurz – in zwei, drei Sätzen – von den Anklagegründen berichten». Genaue Nachfra- gen seien unterblieben. Die Anhörung sei dann «aus zeitlichen Gründen» beendet worden, ohne dass es zu einer zweiten Anhörung gekommen sei.</w:t>
      </w:r>
    </w:p>
    <w:p>
      <w:r>
        <w:rPr>
          <w:b/>
        </w:rPr>
        <w:t>E. 4.2</w:t>
      </w:r>
    </w:p>
    <w:p>
      <w:r>
        <w:t>Der angefochtenen Verfügung ist zu entnehmen, dass das SEM im Rahmen einer Gesamtwürdigung nachvollziehbar und hinreichend diffe- renziert aufgezeigt hat, von welchen Überlegungen es sich leiten liess. Da- bei hat es mehrere Punkte erwähnt, aufgrund welchen die laufenden Straf- verfahren sowie die Drohungen von (…) nicht geeignet seien, um eine flüchtlingsrechtlich relevante Verfolgung zu begründen. Gemäss</w:t>
      </w:r>
    </w:p>
    <w:p>
      <w:r>
        <w:t>D-4704/2025 Seite 6 Auffassung des SEM würden an dieser Einschätzung die eingereichten Be- weismittel nichts zu ändern vermögen. Ausserdem wies es darauf hin, dass die eingereichten Beweismittel grundsätzlich einen geringen Beweiswert hätten, da diese nur in Kopie vorlägen und ausserdem in Bangladesch leicht käuflich erwerbbar seien. Damit hat das SEM die Beweismittel des Beschwerdeführers rechtsgenüglich gewürdigt und ist entsprechend seiner Begründungspflicht hinlänglich nachgekommen. Ob diese Feststellung vorliegend zutreffend ist, betrifft eine materielle Frage.</w:t>
      </w:r>
    </w:p>
    <w:p>
      <w:r>
        <w:rPr>
          <w:b/>
        </w:rPr>
        <w:t>E. 4.3</w:t>
      </w:r>
    </w:p>
    <w:p>
      <w:r>
        <w:t>Hinsichtlich der gerügten Verletzung der Untersuchungspflicht ist vorab festzuhalten, dass die Anhörung des Beschwerdeführers vom 20. Juni 2024 offenbar bereits am Morgen um 8.40 Uhr begann und erst am Abend um 16.40 Uhr endete. Bereits vor der ersten Pause um 10.05 Uhr wurde dem Beschwerdeführer gemäss Protokoll Gelegenheit gegeben, sich aus- führlich zu seinen Fluchtgründen zu äussern. Bis zum Beginn der Rück- übersetzung um 16.05 Uhr – also gut sechs Stunden später – wurde er ausschliesslich zu seinen Fluchtgründen angehört. Zuletzt ist auch darauf hinzuweisen, dass der Beschwerdeführer auf Nachfrage selbst angegeben hat, alles gesagt zu haben (vgl. (…)). Damit ist das SEM zu Recht davon ausgegangen, dass der Beschwerdeführer ausreichend Gelegenheit ge- habt habe, sich zu seinen Fluchtgründen zu äussern. Eine Verletzung der Untersuchungspflicht durch das SEM ist damit zu verneinen.</w:t>
      </w:r>
    </w:p>
    <w:p>
      <w:r>
        <w:rPr>
          <w:b/>
        </w:rPr>
        <w:t>E. 4.4</w:t>
      </w:r>
    </w:p>
    <w:p>
      <w:r>
        <w:t>Nach dem Gesagten erweisen sich die formellen Rügen voraussichtlich als unbegründet. Das eventualiter gestellte Rückweisungsbegehren ist ab- 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w:t>
      </w:r>
    </w:p>
    <w:p>
      <w:r>
        <w:t>D-4704/2025 Seite 7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6.1</w:t>
      </w:r>
    </w:p>
    <w:p>
      <w:r>
        <w:t>In materieller Hinsicht ist der Beurteilung der Vorinstanz zuzustimmen, dass die Vorbringen der Beschwerdeführenden den gesetzlichen Anforde- rungen an die Flüchtlingseigenschaft gemäss Art. 3 des Asylgesetzes (AsylG; SR 142.31) nicht genügen. Nach Art. 3 AsylG setzt die Anerken- nung als Flüchtling voraus, dass die betroffene Person aufgrund von Rasse, Religion, Nationalität, Zugehörigkeit zu einer bestimmten sozialen Gruppe oder wegen ihrer politischen Anschauungen Verfolgungshandlun- gen ausgesetzt ist oder eine begründete Furcht vor solchen Handlungen hat. Diese Voraussetzungen liegen im vorliegenden Fall nicht vor.</w:t>
      </w:r>
    </w:p>
    <w:p>
      <w:r>
        <w:rPr>
          <w:b/>
        </w:rPr>
        <w:t>E. 6.2</w:t>
      </w:r>
    </w:p>
    <w:p>
      <w:r>
        <w:t>Hinsichtlich des geltend gemachten Konflikts mit (…) ist festzustellen, dass es an einem flüchtlingsrechtlich relevanten Verfolgungsmotiv fehlt. Die von den Beschwerdeführenden geltend gemachten Benachteiligungen und Bedrohungen haben ihren Ursprung in einer finanziellen Streitigkeit zwischen dem Beschwerdeführer und einer privaten Drittperson. Solche privatrechtlichen Konflikte begründen grundsätzlich keine flüchtlingsrecht- liche Relevanz, da sie nicht auf einem der in Art. 3 AsylG genannten Ver- folgungsgründe beruhen. Die vorgebrachten Drohungen durch die private Drittperson entbehren daher jeglicher asylrechtlicher Bedeutung.</w:t>
      </w:r>
    </w:p>
    <w:p>
      <w:r>
        <w:rPr>
          <w:b/>
        </w:rPr>
        <w:t>E. 6.3</w:t>
      </w:r>
    </w:p>
    <w:p>
      <w:r>
        <w:t>Des Weiteren ist kein Anhaltspunkt erkennbar, dass die gegen den Be- schwerdeführer in Bangladesch eingeleiteten Strafverfahren von einem Politmalus geprägt wären oder dass die Behörden in Bangladesch aus ei- nem der in Art. 3 AsylG genannten Gründe ein Verfolgungsinteresse am Beschwerdeführer hätten. Der Beschwerdeführer verfügt über kein poli- tisch exponiertes Profil, das eine gezielte Verfolgung durch staatliche Stel- len in Bangladesch nahelegen würde. Soweit der Beschwerdeführer gel- tend macht, dass die gegen ihn erhobenen Strafvorwürfe wegen angebli- cher Tötungsdelikte politisch motiviert seien, vermag er das Gericht nicht zu überzeugen. Namentlich sind keine Hinweise ersichtlich, wonach die Strafprozesse aufgrund des geltend gemachten Konflikts mit (…) entstam- men würden. Der blosse Verweis, dass dieser als Sohn eines ehemaligen Ministers über ausgezeichnete politische Beziehungen verfüge, vermag für sich alleine ein Verfolgungsinteresse der Behörden nicht zu belegen.</w:t>
      </w:r>
    </w:p>
    <w:p>
      <w:r>
        <w:t>D-4704/2025 Seite 8</w:t>
      </w:r>
    </w:p>
    <w:p>
      <w:r>
        <w:rPr>
          <w:b/>
        </w:rPr>
        <w:t>E. 6.4</w:t>
      </w:r>
    </w:p>
    <w:p>
      <w:r>
        <w:t>Zuletzt ist auch hinsichtlich der vom Beschwerdeführer eingereichten Beweismittel in Übereinstimmung mit der Vorinstanz festzuhalten, dass diesen aufgrund ihrer leichten Fälschbarkeit kein hoher Beweiswert beige- messen werden kann. Da bereits die asylrechtliche Relevanz der geltend gemachten Verfolgung fehlt, kann die Frage der Glaubhaftigkeit der Vor- bringen der Beschwerdeführenden vorliegend offenbleiben.</w:t>
      </w:r>
    </w:p>
    <w:p>
      <w:r>
        <w:rPr>
          <w:b/>
        </w:rPr>
        <w:t>E. 6.5</w:t>
      </w:r>
    </w:p>
    <w:p>
      <w:r>
        <w:t>Die Vorinstanz hat die Flüchtlingseigenschaft der Beschwerdeführen- den zu Recht verneint und ihr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w:t>
      </w:r>
    </w:p>
    <w:p>
      <w:r>
        <w:t>D-4704/2025 Seite 9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8.2.5</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 päischen Gerichtshofes für Menschenrechte (EGMR) sowie jener des UN- 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Nach den vorstehenden Ausführungen gelingt ihnen das nicht. Auch die allgemeine Menschen- rechtssituation im Heimatstaat lässt den Wegweisungsvollzug zum heuti- 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w:t>
      </w:r>
    </w:p>
    <w:p>
      <w:r>
        <w:t>D-4704/2025 Seite 10 aufgrund von Situationen wie Krieg, Bürgerkrieg, allgemeiner Gewalt und medizinischer Notlage konkret gefährdet sind. Diese Bestimmung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(BVGE 2014/26 E. 7.5 m.w.H.). Wird eine konkrete Gefährdung festgestellt, ist – unter Vorbehalt von Art. 83 Abs. 7 AIG – die vorläufige Aufnahme zu gewähren. Das Kindswohl bildet im Rahmen der Zumutbarkeitsprüfung einen gewich- tigen zu beachtenden Gesichtspunkt. Dies ergibt sich insbesondere aus einer völkerrechtskonformen Auslegung von Art. 83 Abs. 4 AIG im Licht von Art. 3 Abs. 1 KRK. Unter dem Aspekt des Kindswohls sind sämtliche Um- stände zu würdigen, die im Hinblick auf eine Wegweisung wesentlich er- scheinen, namentlich das Alter des Kindes, dessen Reife und Abhängig- keit, die Art der Beziehung zu Bezugspersonen, Stand und Prognose be- züglich der Entwicklung des Kindes sowie der Grad der erfolgten Integra- tion bei einem längeren Aufenthalt in der Schweiz (BVGE 2009/51 E. 5.6; 2009/28 E. 9.3.2 je m.w.H.). Ferner hat die zuständige Behörde gemäss Art. 69 Abs. 4 AIG vor einer Ausschaffung von unbegleiteten minderjähri- gen Personen sicherzustellen, dass diese im Rückkehrstaat einem Famili- enmitglied, einem Vormund oder einer Aufnahmeeinrichtung übergeben werden, welche den Schutz des Kindes gewährleisten (vgl. BVGE 2021 VI/3 E.11.5.2 m.w.H., BVGE 2015/30 E. 7.3 m.w.H.). Die Rückreisemoda- litäten (Begleitung der UMA, Ort und Zeit der Übergabe nach der Ankunft im Heimatland etc.) können allerdings erst im unmittelbaren Vorfeld der Rückkehr geregelt werden (vgl. EMARK 1998 Nr. 13 E. 5e.bb S. 100).</w:t>
      </w:r>
    </w:p>
    <w:p>
      <w:r>
        <w:rPr>
          <w:b/>
        </w:rPr>
        <w:t>E. 8.3.2</w:t>
      </w:r>
    </w:p>
    <w:p>
      <w:r>
        <w:t>In Bangladesch herrscht zurzeit weder Krieg oder Bürgerkrieg noch eine Situation allgemeiner Gewalt. Der Wegweisungsvollzug dorthin ist da- her als generell zumutbar zu erachten (vgl. statt vieler Urteil des BVGer D-1656/2020 vom 22. Juli 2024 E. 6.6, m.w.H.). Der Vollzug der Wegweisung erweist sich auch unter individueller Betrach- tung und unter Berücksichtigung des Kindeswohls im Sinne von Art. 3 Abs. 1 KRK als zumutbar. Der bei Sohn 1 diagnostizierte (…) vermag kein Vollzugshindernis zu begründen. Gestützt auf die einschlägige Rechtspre- chung des Bundesverwaltungsgerichts ist davon auszugehen, dass in Bangladesch grundsätzlich geeignete medizinische Behandlungs-</w:t>
      </w:r>
    </w:p>
    <w:p>
      <w:r>
        <w:t>D-4704/2025 Seite 11 möglichkeiten auch für psychische Erkrankungen bestehen, wenngleich diese unter Umständen nicht dem schweizerischen Standard entsprechen oder in geringerem Umfang verfügbar sein könnten (vgl. Urteile des BVGer E-5308/2012 vom 1. Mai 2013 E. 7.2.2 und D-4095/2017 vom 30. April 2019 E. 10.4.2; ausserdem Berichte der World Health Organization [WHO], Bangladesh WHO Special Inititiave for Mental Health, Situational Assess- ment, undatiert, https://www.who.int/docs/default-source/mental- health/special-initiative/who-special-initiative-country-report---bangladesh- --2020.pdf?sfvrsn=c2122a0e_2, abgerufen am 21. August 2025; und des UK Home Office, Country Police and Information Note Bangladesh: Medi- cal treatment and healthcare, Ziff. 10). In (…), der Heimatstadt der Be- schwerdeführenden, befinden sich unter anderem folgende Kliniken und Behandlungsangebote: (…), (…), (…) und (…). Diese bieten spezialisierte und kostengünstige Behandlungsangebote für diverse psychische Erkran- kungen und namentlich (…) an. Es kann daher davon ausgegangen wer- den, dass eine angemessene Behandlung für Sohn 1 auch im Herkunfts- staat sichergestellt werden kann, zumal dort bereits eine Diagnose vorliegt und keine akute Notlage ersichtlich ist. Vor dem Hintergrund der bestehen- den Therapiemöglichkeiten in Bangladesch vermögen auch die die nach- träglich eingereichten ärztlichen Berichte über die Notwendigkeit einer zeit- nahen Behandlung die Unzumutbarkeit der Wegweisung nicht zu rechtfer- tigen. Soweit eingewendet wird, eine medizinische Behandlung sei wegen prohibitiver Kosten im Heimatland faktisch unzugänglich, ist festzuhalten, dass die nachgewiesene Reisetätigkeit der Familie – mit Einträgen zahlrei- cher Visa für Drittstaaten – gemessen an den sozioökonomischen Verhält- nissen in Bangladesch auf überdurchschnittliche finanzielle Ressourcen schliessen lässt. Dessen ungeachtet kann diesbezüglich auf die Möglich- keit der medizinischen Rückkehrhilfe gemäss Art. 93 Abs. 1 lit. d AsylG ver- wiesen werden. Ein medizinisch oder betreuungsbedingt bedingtes Voll- zugshindernis ist insgesamt nicht ersichtlich. Der Behauptung, Sohn 1 würde als (…) in Bangladesch ein menschenun- würdiges Leben am Rande der Gesellschaft führen und sei ernsthaft von Stigmatisierung oder gar schweren körperlichen Übergriffen bedroht, ist nicht zu folgen. Es ist vielmehr davon auszugehen, dass die Familie des Kindes über ein grundlegendes Verständnis für die Erkrankung verfügt und sich um eine angemessene Betreuung bemüht. Konkrete Anhaltspunkte für eine reale Gefahr physischer Übergriffe durch Drittpersonen bestehen nicht und erscheinen angesichts des familiären Schutzes als unwahrscheinlich. Allfällige gesellschaftliche Stigmatisierung oder Diskriminierung im Heimat- staat kann zwar grundsätzlich nicht ausgeschlossen werden; angesichts</w:t>
      </w:r>
    </w:p>
    <w:p>
      <w:r>
        <w:t>D-4704/2025 Seite 12 des familiären Rückhalts ist jedoch nicht ersichtlich, inwiefern eine solche Stigmatisierung ein menschenwürdiges Leben im Herkunftsstaat ernsthaft verunmöglichen oder in unzumutbarer Weise erschweren würde. Nach dem Gesagten erweist sich der Vollzug der Wegweisung auch als zumutbar.</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 Für deren Begleichung ist der bereits in gleicher Höhe geleistete Kostenvorschuss zu verwenden.</w:t>
      </w:r>
    </w:p>
    <w:p>
      <w:r>
        <w:t>(Dispositiv nächste Seite)</w:t>
      </w:r>
    </w:p>
    <w:p>
      <w:r>
        <w:t>D-4704/2025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