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D-4702/2021 vom 21. November 2021</w:t>
      </w:r>
    </w:p>
    <w:p>
      <w:r>
        <w:t>Bundesverwaltungsgericht, 2021-11-21, IT</w:t>
      </w:r>
    </w:p>
    <w:p>
      <w:r>
        <w:rPr>
          <w:b/>
        </w:rPr>
        <w:t xml:space="preserve">Quelle: </w:t>
      </w:r>
      <w:r>
        <w:t>https://mcp.opencaselaw.ch/entscheid/bvger_D-4702_2021</w:t>
      </w:r>
    </w:p>
    <w:p>
      <w:r>
        <w:t>FR: TAF D-4702/2021 du 21 novembre 2021</w:t>
      </w:r>
    </w:p>
    <w:p>
      <w:r>
        <w:t>IT: TAF D-4702/2021 del 21 novembre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3 LAsi), alla forma e al contenuto dell'atto di ricorso (art. 52 cpv. 1 PA) sono soddisfatti. Occorre pertanto entrare nel merito del gravame.</w:t>
      </w:r>
    </w:p>
    <w:p>
      <w:r>
        <w:rPr>
          <w:b/>
        </w:rPr>
        <w:t>E. 2</w:t>
      </w:r>
    </w:p>
    <w:p>
      <w:r>
        <w:t>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Il Tribunale, adito con un ricorso contro una decisione di non entrata nel merito di una domanda d'asilo, si limita ad esaminare la fondatezza di una tale decisione (cfr. DTAF 2012/4 consid. 2.2; 2009/54 consid. 1.3.3; 2007/8 consid. 5).</w:t>
      </w:r>
    </w:p>
    <w:p>
      <w:r>
        <w:rPr>
          <w:b/>
        </w:rPr>
        <w:t>E. 4.1</w:t>
      </w:r>
    </w:p>
    <w:p>
      <w:r>
        <w:t>Nella querelata decisione, l'autorità inferiore ha in primo luogo ritenuto data - in virtù della domanda d'asilo ivi depositata dai richiedenti, oltreché della scadenza del termine di accettazione e della successiva accettazione tardiva - la competenza della Francia per la trattazione della domanda d'asilo di cui al corrente procedimento. L'eventuale respingimento delle domande d'asilo in detto Paese sarebbe peraltro ininfluente, atteso che non vi sarebbero evidenze circa il fatto che la Francia abbia violato i suoi obblighi derivanti dal diritto internazionale. Proseguendo nell'analisi, la SEM ha considerato che in Francia - Stato che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nonché la direttiva 2013/33/UE del Parlamento europeo e del Consiglio del 26 giugno 2013 recante norme relative all'accoglienza dei richiedenti protezione internazionale (di seguito: direttiva accoglienza) - non sussisterebbero carenze sistemiche nel sistema di accoglienza e di asilo dei richiedenti. Conseguentemente, in caso di trasferimento verso il predetto Stato membro, si potrebbe partire dal presupposto che i ricorrenti non sarebbero esposti a serie violazioni dei diritti dell'uomo ex art. 3 par. 2 Regolamento Dublino III e art. 3 CEDU, che non verrebbero a trovarsi in una situazione esistenziale difficile, o ancora, che non sarebbero rinviati nel loro Paese d'origine o di provenienza senza che la loro domanda d'asilo venga esaminata in violazione del principio di non-respingimento. Non esisterebbero altresì motivi che impongano di esaminare la domanda d'asilo in Svizzera in applicazione dell'art. 16 par. 1 Regolamento Dublino III. Proseguendo nell'analisi, la SEM ha ritenuto che l'applicazione della clausola di sovranità di cui all'art. 17 par. 1 Regolamento Dublino III e 29a cpv. 3 dell'Ordinanza 1 sull'asilo relativa a questioni procedurali (OAsi 1, RS 142.311) non sarebbe giustificata nella fattispecie. Innanzitutto, lo stato di salute dei ricorrenti, ed in particolare di B._______, sufficientemente acclarato, non raggiungerebbe una gravità tale da rendere inammissibile il trasferimento. La Francia disporrebbe in ogni caso di un'infrastruttura medica sufficiente e - in virtù della direttiva accoglienza - sarebbe tenuta a prestare cure mediche adeguate. I dubbi addotti al soggetto dagli insorgenti non sarebbero peraltro supportati da alcun elemento concreto. Le disquisizioni circa l'impossibilità di una presa a carico in Serbia sarebbero dipoi prive di attinenza nel quadro di una procedura Dublino, ove solo la capacità di trasferimento risulterebbe di principio decisiva. A medesima conclusione occorrerebbe giungere anche quo alle violenze subite dalla ricorrente nel Paese d'origine. Non vi sarebbero pertanto gli estremi per un'applicazione potestativa della clausola di sovranità.</w:t>
      </w:r>
    </w:p>
    <w:p>
      <w:r>
        <w:rPr>
          <w:b/>
        </w:rPr>
        <w:t>E. 4.2</w:t>
      </w:r>
    </w:p>
    <w:p>
      <w:r>
        <w:t>Nella la loro strutturata impugnativa, gli insorgenti avversano le conclusioni cui è giunta l'autorità resistente. Essi pongono innanzitutto l'accento sui diversi disposti menzionati nelle accettazioni al trasferimento trasmesse tardivamente dalle autorità francesi, aspetto che implicherebbe il mancato accoglimento della richiesta di trattare congiuntamente le domande d'asilo. In altre parole, prosegue la protezione giuridica, per B._______ verrà svolta una procedura di prima istanza mentre che per A._______ si procederà con tutta probabilità ad un allontanamento verso la Serbia. Ciò porrebbe ovvi problemi atteso che gli insorgenti, pur non essendo ancora sposati, sarebbero legati da un profondo legame affettivo. B._______, segnata da drammatici trascorsi famigliari e da seri problemi psichici, potrebbe contare unicamente su A._______. Così, il trasferimento in Francia configurerebbe una violazione dell'art. 8 CEDU, aspetto che l'autorità resistente non avrebbe affrontato nel proprio provvedimento. Dipoi, la rappresentante legale si sofferma sullo stato di salute della richiedente. Dopo aver ripreso parte degli argomenti già addotti nel diritto di essere sentito citato sub. lett. F, essa osserva come l'autorità non avrebbe valutato correttamente le condizioni di salute della ricorrente. Numerosi rapporti e studi, in parte citati nel memoriale, indicherebbero che attualmente la situazione del sistema di accoglienza francese sarebbe critica sotto molteplici punti di vista. Ciò sarebbe stato referenziato anche in un certo numero di "costellazioni a rischio" trattate dal Tribunale ed avrebbe portato ad una condanna della Francia da parte delle CorteEdu. La protezione giuridica ribadisce quindi come la mera interruzione, fosse anche temporanea, della presa a carico, implicherebbe un rischio grave non preso sufficientemente in conto dall'autorità inferiore. Richiama in seguito la giurisprudenza della CGUE secondo cui non solo le carenze sistemiche, ma anche il trasferimento in sé potrebbe comportare una violazione dell'art. 3 CEDU o 4 della Carta UE. Dopo aver citato alcune sentenze di questo Tribunale, precisa quindi come la SEM avrebbe dovuto valutare in concreto i rischi derivanti dalla discontinuità dei trattamenti. In specie, l'esame di cui alla querelata decisione non sarebbe completo. In particolare, occorrerebbero delle ulteriori misure di istruzione al fine di valutare compiutamente sia il rischio che una riammissione in Francia si ponga in contrasto con l'art. 3 CEDU, sia la necessità di rinunciare al trasferimento per motivi umanitari. Ciò con particolare riferimento al fatto che nella domanda di riammissione difetterebbe qualsiasi segnalazione dello stato di vulnerabilità della ricorrente e che il rapporto medico dettagliato sarebbe successivo alla stessa. I dubbi sul rischio di "refoulement" in Serbia sarebbero peraltro più che sensati e pertanto anche l'eventualità di non potere accedere alle cure. Quanto avvenuto nel Paese d'origine sarebbe d'altro canto fondamentale per esprimere delle considerazioni sull'attuale stato di salute psicofisico dell'insorgente.</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5.3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5.4</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della competenza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5.5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 Rispettivamente, lo Stato membro competente è tenuto a riprendere in carico, ai sensi degli stessi articoli di legge menzionati,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6</w:t>
      </w:r>
    </w:p>
    <w:p>
      <w:r>
        <w:t>Nel caso in rassegna, la Francia non ha risposto alla richiesta di ripresa a carico dei richiedenti nel termine di accettazione previsto all'art. 25 cpv. 2 Regolamento Dublino III rispettivamente le autorità dello Stato richiesto la hanno espressamente accettata, seppur tardivamente. La competenza della Francia per la trattazione della procedura d'asilo e di allontanamento dei richiedenti risulta così di principio essere data. In questo contesto, il fatto che nelle separate comunicazioni di accettazione trasmesse dalle autorità francesi siano stati menzionati due disposti diversi risulta ininfluente. Non da ultimo, è doveroso rammentare che sebbene ai sensi degli art. 31 e 32 del Regolamento Dublino III spetti alle autorità incaricate per l'esecuzione del trasferimento rimettere - se del caso - alle autorità straniere competenti le informazioni che consentono un'adeguata assistenza medica alla persona trasferita, ciò non costituisce in alcun modo un prerequisito per l'accettazione, da parte di quest'ultime autorità, del trasferimento nel loro territorio (cfr. sentenza del Tribunale D-2641/2017 dell'11 maggio 2017).</w:t>
      </w:r>
    </w:p>
    <w:p>
      <w:r>
        <w:rPr>
          <w:b/>
        </w:rPr>
        <w:t>E. 7.1</w:t>
      </w:r>
    </w:p>
    <w:p>
      <w:r>
        <w:t>Quo alla procedura di asilo e di accoglienza dei richiedenti in Francia, non vi sono fondati motivi di ritenere che sussistano carenze sistemiche nella procedura di asilo e nelle condizioni di accoglienza dei richiedenti, che implichino il rischio di un trattamento inumano o degradante ai sensi dell'art. 4 della Carta UE (cfr. art. 3 par. 2 2ª frase Regolamento Dublino III) (cfr. fra le tante, sentenze del Tribunale F-1339/2020 del 14 aprile 2020 consid. 5; F-2143/2020 del 6 maggio 2020, consid. 6).</w:t>
      </w:r>
    </w:p>
    <w:p>
      <w:r>
        <w:rPr>
          <w:b/>
        </w:rPr>
        <w:t>E. 7.2</w:t>
      </w:r>
    </w:p>
    <w:p>
      <w:r>
        <w:t>La Francia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w:t>
      </w:r>
    </w:p>
    <w:p>
      <w:r>
        <w:rPr>
          <w:b/>
        </w:rPr>
        <w:t>E. 7.3</w:t>
      </w:r>
    </w:p>
    <w:p>
      <w:r>
        <w:t>Di conseguenza, detto Paese è presunto rispettare la sicurezza dei richiedenti l'asilo, in particolare il diritto alla trattazione della propria domanda secondo una procedura giusta ed equa e garantire una protezione conforme al diritto internazionale ed europeo (cfr. direttiva procedura e direttiva accoglienza).</w:t>
      </w:r>
    </w:p>
    <w:p>
      <w:r>
        <w:rPr>
          <w:b/>
        </w:rPr>
        <w:t>E. 7.4</w:t>
      </w:r>
    </w:p>
    <w:p>
      <w:r>
        <w:t>Tale presunzione non è tuttavia assoluta e può essere confutata in presenza di indizi seri che, nel caso concreto, le autorità di tale Stato non rispettino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 R.U. contro Grecia del 7 gennaio 2011, 2237/08, §74 segg.; sentenza della CGUE del 21 dicembre 2011, C-411/10 e C-493/10 [Grande Sezione]).</w:t>
      </w:r>
    </w:p>
    <w:p>
      <w:r>
        <w:rPr>
          <w:b/>
        </w:rPr>
        <w:t>E. 7.5</w:t>
      </w:r>
    </w:p>
    <w:p>
      <w:r>
        <w:t>Orbene, anche prendendo in considerazione le censure mosse nel gravame dai ricorrenti, nulla permette di ritenere la persistenza di una pratica attuale avverata di violazione sistematica delle norme comunitarie minime in materia. Sebbene alcuni rapporti indipendenti abbiano effettivamente evidenziato la presenza di alcune criticità nel sistema di accoglienza transalpino, giurisprudenza invalsa ha sempre escluso l'esistenza di carenze sistemiche ai sensi del precitato disposto (cfr. fra le tante, sentenze del Tribunale D-5996/2019 del 21 novembre 2019 e D-6652/2020 dell'11 febbraio 2020 consid. 6). Altresì gli insorgenti non hanno dimostrato il mancato rispetto del divieto di respingimento da parte della Francia né tantomeno l'esistenza di un rischio di contravvenzione della direttiva procedura. Peraltro, come regolarmente osservato dalla giurisprudenza, anche una decisione definitiva emessa dallo Stato richiesto ed assortita da un rinvio nel paese d'origine non costituisce gioco forza una violazione in concreto del principio del non respingimento (cfr. fra le tante, sentenza del Tribunale E-1983/2019 del 2 luglio 2019 consid. 5.5). Gli elementi concreti del caso di specie, non sono così tali da rimettere in discussione la predetta presunzione legale. Conseguentemente, visto tutto quanto precede l'applicazione dell'art. 3 par. 2 2ª frase Regolamento Dublino III non si giustifica nel caso di specie.</w:t>
      </w:r>
    </w:p>
    <w:p>
      <w:r>
        <w:rPr>
          <w:b/>
        </w:rPr>
        <w:t>E. 8.1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8.2</w:t>
      </w:r>
    </w:p>
    <w:p>
      <w:r>
        <w:t>Ai sensi dell'art. 29a cpv. 3 OAsi 1 se "motivi umanitari" lo giustificano la SEM può entrare nel merito della domanda anche qualora giusta il Regolamento Dublino III un altro Stato sarebbe competente per il trattamento della domanda. L'autorità di prima istanza, nell'applicazione dell'art. 29a cpv. 3 OAsi 1 dispone di potere di apprezzamento (cfr. DTAF 2015/9 consid. 7 e seg.); la modifica dell'art. 106 cpv. 1 LAsi ha ristretto il potere d'esame del Tribunale e pertanto quest'ultimo può e deve unicamente controllare che l'autorità inferiore abbia esercitato il suo potere d'apprezzamento ovvero se la SEM ha fatto uso di tale potere d'apprezzamento e se l'ha fatto secondo criteri oggettivi e trasparenti. In questi casi il Tribunale non può sostituire il suo apprezzamento a quello della SEM.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9.1.1</w:t>
      </w:r>
    </w:p>
    <w:p>
      <w:r>
        <w:t>Vista la censura in tal senso, occorre determinare, in primo luogo, se l'accertamento dei fatti svolto dall'autorità inferiore sul punto di questione dell'applicazione della clausola di sovranità presti il fianco a critiche o meno. Ciò con particolare riferimento allo stato di salute di B._______.</w:t>
      </w:r>
    </w:p>
    <w:p>
      <w:r>
        <w:rPr>
          <w:b/>
        </w:rPr>
        <w:t>E. 9.1.2</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op.cit., 2°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9.1.3</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A-3056/2015 del 22 dicembre 2016 consid. 3.1.4; Moser/Beusch/Kneubühler, op. cit., n. 3.144).</w:t>
      </w:r>
    </w:p>
    <w:p>
      <w:r>
        <w:rPr>
          <w:b/>
        </w:rPr>
        <w:t>E. 9.1.4</w:t>
      </w:r>
    </w:p>
    <w:p>
      <w:r>
        <w:t>Nel caso in rassegna gli aspetti giuridicamente rilevanti rispetto ai quali lo stato valetudinario di B._______ funge da discriminante si esauriscono sostanzialmente nella questione a sapere se il suo trasferimento possa o meno configurare una violazione dell'art. 3 CEDU.</w:t>
      </w:r>
    </w:p>
    <w:p>
      <w:r>
        <w:rPr>
          <w:b/>
        </w:rPr>
        <w:t>E. 9.1.5</w:t>
      </w:r>
    </w:p>
    <w:p>
      <w:r>
        <w:t>A questo titolo, v'è da ravvisare che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9.1.6</w:t>
      </w:r>
    </w:p>
    <w:p>
      <w:r>
        <w:t>Sempre in quest'ambito, si deve ricordare che il peggioramento dello stato psichico di un richiedente l'asilo a seguito di una decisione negativa è casistica osservabile di frequente (cfr. tra le tante sentenza del Tribunale D-5256/2020 del 9 febbraio 2021 consid. 10.4.1) e non preclude di principio un trasferimento, anche in concomitanza con tentativi di suicidio o tendenze anticonservative (cfr. sentenze del Tribunale E-4218/2020 del 3 settembre 2020 consid. 5.2.3; E-5384/2017 del 4 settembre 2018 consid. 4.3.3; E-1302/2011 del 2 aprile 2012 consdi. 6.3.2; secondo il senso anche la recente sentenza del Tribunale federale 2C_221/2020 del 19 giugno 2020 consid. 2).</w:t>
      </w:r>
    </w:p>
    <w:p>
      <w:r>
        <w:rPr>
          <w:b/>
        </w:rPr>
        <w:t>E. 9.1.7</w:t>
      </w:r>
    </w:p>
    <w:p>
      <w:r>
        <w:t>In una siffatta valutazione non è certo privo di rilievo il diritto sovranazionale che lega lo stato di destinazione. Gli Stati membri sono invero vincolati dalla CartaUE e la CEDU e tenuti ad applicare la direttiva accoglienza, la quale prevede, all'art. 19 par. 1, che si debba provvedere affinché i richiedenti ricevano la necessaria assistenza sanitaria che comprende quantomeno le prestazioni di pronto soccorso e il trattamento essenziale delle malattie e di gravi disturbi mentali. Pure da considerare è l'infrastruttura sanitaria in essere nel Paese di destinazione e le conseguenti possibilità di trattamento.</w:t>
      </w:r>
    </w:p>
    <w:p>
      <w:r>
        <w:rPr>
          <w:b/>
        </w:rPr>
        <w:t>E. 9.1.8</w:t>
      </w:r>
    </w:p>
    <w:p>
      <w:r>
        <w:t>Ferme queste premesse, è indubbio che nel caso in narrativa, l'accertamento dei fatti svolto dall'autorità inferiore non risulti carente. La SEM ha infatti ordinato un rapporto medico dettagliato che illustra in modo esaustivo le problematiche valetudinarie in capo a B._______, la necessaria presa a carico ed i trattamenti prescritti (cfr. supra lett. F). Per il resto, non vi erano indicatori quanto all'esistenza, finanche potenziale, di affezioni terminali ai sensi della giurisprudenza convenzionale né tantomeno di patologie che potessero raggiungere un livello di gravità tale da configurare un rischio reale di un peggioramento rapido ed irreversibile dello stato valetudinario comportante delle intense sofferenze o una significativa riduzione della speranza di vita in caso di trasferimento. Inoltre, come rettamente segnalato dall'autorità inferiore, la Francia dispone notoriamente di un'infrastruttura sanitaria funzionante ed equiparabile a quella elvetica, alla quale la ricorrente può avere libero accesso come previsto dal diritto comunitario (art. 19 par. 1 direttiva accoglienza).</w:t>
      </w:r>
    </w:p>
    <w:p>
      <w:r>
        <w:rPr>
          <w:b/>
        </w:rPr>
        <w:t>E. 9.1.9</w:t>
      </w:r>
    </w:p>
    <w:p>
      <w:r>
        <w:t>Conto tenuto delle questioni giuridiche che si ponevano, il complesso fattuale era dunque sufficientemente delineato per giudicare del trasferimento dell'interessata in Francia nel contesto di un procedimento Dublino, sicché nulla può essere rimproverato all'autorità inferiore, che non ha quindi violato il principio inquisitorio.</w:t>
      </w:r>
    </w:p>
    <w:p>
      <w:r>
        <w:rPr>
          <w:b/>
        </w:rPr>
        <w:t>E. 9.2</w:t>
      </w:r>
    </w:p>
    <w:p>
      <w:r>
        <w:t>Su questi medesimi presupposti, si può partire dall'assunto che lo stato di salute di B._______, per i cui dettagli si rinvia a quanto esposto sub. lett. F e I non risulti ostativo al trasferimento in Francia. In questo senso, anche gli ulteriori accertamenti svolti dopo l'emissione del provvedimento impugnato non permettono di giungere ad un esito diverso.</w:t>
      </w:r>
    </w:p>
    <w:p>
      <w:r>
        <w:rPr>
          <w:b/>
        </w:rPr>
        <w:t>E. 9.3</w:t>
      </w:r>
    </w:p>
    <w:p>
      <w:r>
        <w:t>Tra le norme imperative di cui sopra rientra anche l'art. 8 CEDU (cfr. DTAF 2013/24 consid. 5), secondo il quale ogni persona ha diritto al rispetto della sua vita privata e familiare, del suo domicilio e della sua corrispondenza e il cui scopo è segnatamente quello di proteggere le relazioni con la famiglia nucleare, in particolare con il coniuge ed i figli minori (cfr. DTF 137 I 113 consid. 6.1; DTAF 2008/47 consid. 4.1, sentenza del Tribunale D-2393/2019 del 22 maggio 2019). Nel caso in narrativa, codesta patrocinatrice vi si appella però a torto. A prescindere dal legame che lega gli odierni ricorrenti, va infatti osservato come alla luce del preventivato trasferimento congiunto, alle autorità elvetiche non può essere rimproverata alcuna violazione della normativa citata. Quanto ad un'eventuale violazione indiretta, occorre inoltre rammentare che la cosiddetta protezione "par ricochet" è stata elaborata nell'ambito dell'art. 3 CEDU e non dell'art. 8 CEDU (cfr. sentenza del tribunale D-6481/2017 del 13 dicembre 2017). A prescindere da ciò, si deve in ogni caso partire dal presupposto che la Francia, stato di diritto, rispetti i suoi obblighi derivanti dal diritto internazionale, di modo che, nell'eventualità di una violazione del disposto, i ricorrenti potranno rivolgersi alle rispettive autorità onde ottenerne il riconoscimento delle garanzie ad esso inerenti.</w:t>
      </w:r>
    </w:p>
    <w:p>
      <w:r>
        <w:rPr>
          <w:b/>
        </w:rPr>
        <w:t>E. 10</w:t>
      </w:r>
    </w:p>
    <w:p>
      <w:r>
        <w:t>Visto quanto precede ed alla luce del fatto che non ci sono dunque elementi per ritenere che l'autorità di prima istanza abbia esercitato in maniera arbitraria il suo potere discrezionale, la Francia rimane competente per il seguito della domanda d'asilo e d'allontanamento dei ricorrenti ai sensi del Regolamento Dublino III ed è tenuta a riprenderli in carico in ossequio alle condizioni poste agli art. 23, 24, 25 e 29 del predetto.</w:t>
      </w:r>
    </w:p>
    <w:p>
      <w:r>
        <w:rPr>
          <w:b/>
        </w:rPr>
        <w:t>E. 11</w:t>
      </w:r>
    </w:p>
    <w:p>
      <w:r>
        <w:t>È dunque a giusto titolo che la SEM non è entrata nel merito della domanda di asilo del ricorrente, in applicazione dell'art. 31a cpv. 1 lett. b LAsi ed ha pronunciato il suo trasferimento verso la Francia conformemente all'art. 44 LAsi, posto che gli insorgenti non possiedono un'autorizzazione di soggiorno in Svizzera (cfr. art. 32 lett. a OAsi 1). In siffatte circostanze, non v'è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w:t>
      </w:r>
    </w:p>
    <w:p>
      <w:r>
        <w:rPr>
          <w:b/>
        </w:rPr>
        <w:t>E. 12</w:t>
      </w:r>
    </w:p>
    <w:p>
      <w:r>
        <w:t>Alla luce di quanto precede, il ricorso deve essere respinto e la decisione della SEM, che rifiuta l'entrata nel merito della domanda di asilo e pronuncia il trasferimento dalla Svizzera verso la Francia confermata.</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il ricorrente sia indigente, v'è luogo di accogliere la domanda di assistenza giudiziaria nel senso della dispensa dal pagamento delle spese di giustizia (art. 65 cpv. 1 PA),</w:t>
      </w:r>
    </w:p>
    <w:p>
      <w:r>
        <w:rPr>
          <w:b/>
        </w:rPr>
        <w:t>E. 15</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 il Tribunale amministrativo federale pronuncia: 1. Il ricorso è respinto. 2. La domanda di assistenza giudiziaria è accolta. 3. Non si prelevano spese processuali. 4. Questa sentenza è comunicata ai ricorrenti, alla SEM e all'autorità cantonale competente. Il presidente del collegio: Il cancelliere: Daniele Cattaneo Lorenzo Rapelli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