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D-4702/2006 vom 21. August 2008</w:t>
      </w:r>
    </w:p>
    <w:p>
      <w:r>
        <w:t>Bundesverwaltungsgericht, 2008-08-21, DE</w:t>
      </w:r>
    </w:p>
    <w:p>
      <w:r>
        <w:rPr>
          <w:b/>
        </w:rPr>
        <w:t xml:space="preserve">Quelle: </w:t>
      </w:r>
      <w:r>
        <w:t>https://mcp.opencaselaw.ch/entscheid/bvger_D-4702_2006</w:t>
      </w:r>
    </w:p>
    <w:p>
      <w:r>
        <w:t>FR: TAF D-4702/2006 du 21 août 2008</w:t>
      </w:r>
    </w:p>
    <w:p>
      <w:r>
        <w:t>IT: TAF D-4702/2006 del 21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Vorab ist die Frage der Prozessfähigkeit als Sachurteilsvoraussetzung von Amtes wegen zu prüfen (Fritz Gygi, Bundesverwaltungsrechtspflege, 2. Aufl., Bern 1983, S. 73). Als verfahrensrechtliches Korrelat der Handlungsfähigkeit ist sie nach den einschlägigen zivilrechtlichen Vorschriften zu beurteilen (vgl. dazu die weiterhin zutreffende Praxis der ARK in Entscheidungen und Mitteilungen der ARK [EMARK] 1996 Nr. 3 S. 19). Sie setzt demnach Urteilsfähigkeit, Mündigkeit und das Fehlen der Entmündigung voraus (Art. 13 und 17 des Schweizerischen Zivilgesetzbuchs vom 10. Dezember 1907 [ZGB, SR 210]). Der Beschwerdeführer gab anlässlich der verschiedenen Abklärungen in der Empfangsstelle auf die Frage nach seinem Alter übereinstimmend an, er sei am B._______ geboren. Demnach war er zum Zeitpunkt der Einreichung seines Asylgesuches am 22. Juni 2005 minderjährig. Ein Dokument, das seine Altersangabe hätte bestätigen können, vermochte er jedoch bis heute nicht vorzuweisen. Die Vorinstanz zweifelte indessen die Altersangabe des Beschwerdeführers nicht an. Auch die zuständige kantonale Behörde erachtete den Beschwerdeführer als minderjährig und bestimmte für ihn in Anwendung von Art. 17 Abs. 3 AsylG eine Vertrauensperson beziehungsweise bezeichnete einen diesbezüglichen Mandatsträger. Der Beschwerdeführer war zum Zeitpunkt der Beschwerdeeinreichung am 16. November 2005 ebenfalls noch minderjährig, weshalb er sich grundsätzlich nur mit Zustimmung des gesetzlichen Vertreters durch seine Handlungen verpflichten kann (Art. 19 Abs. 1 ZGB). Soweit urteilsfähig, vermag er jedoch ohne Zustimmung des gesetzlichen Vertreters selbständig Rechte auszuüben, die ihm um seiner Persönlichkeit willen zustehen (Art. 19 Abs. 2 ZGB). Das Einreichen eines Asylgesuches wie auch die Ergreifung von damit zusammenhängenden Rechtsmitteln sind so genannt "höchstpersönliche" Rechte, die ein nicht mündiger, aber urteilsfähiger Gesuchsteller ohne Zustimmung seines gesetzlichen Vertreters ausüben kann (vgl. EMARK 1996 Nr. 5). Urteilsfähig ist jeder, dem es nicht wegen seines Kindesalters oder infolge anderer Umstände an der Fähigkeit mangelt, vernunftgemäss zu handeln (Art. 16 ZGB). Vorliegend bestehen aufgrund der Akten keinerlei Anhaltspunkte, die zu Zweifeln an der Urteilsfähigkeit des Beschwerdeführers in Bezug auf das Einreichen des Asylgesuches oder auf die Erhebung der vorliegenden Beschwerde Anlass geben würden. Insbesondere vermitteln die Befragungsprotokolle in den Vorakten den Eindruck, der Beschwerdeführer sei sich über den Sinngehalt der an ihn gerichteten Fragen im Klaren gewesen, habe sachbezogen darauf geantwortet und sich bei der Darlegung seiner Asylgründe und persönlichen Verhältnisse jederzeit von vernünftigen Überlegungen leiten lassen, auch wenn er bei der kantonalen Anhörung angab, er habe bei der Empfangsstellenbefragung nicht alles verstanden, und aus der Bemerkung des kantonalen Befragers zu schliessen ist, dass sich der Beschwerdeführer unkonzentriert zeigte (vgl. A18/25, S. 4). In der Rechtsmitteleingabe wird angeführt, der Beschwerdeführer zeige häufig einen abwesenden Eindruck und habe oft Mühe, einfache Fragen zu beantworten. Ob dies auf sein Unwissen oder seine mangelnde Aufnahmefähigkeit zurückzuführen sei, sei schwer zu beurteilen, weshalb er via den Hausarzt für die Abklärung seines psychischen Zustands dem Kinder- und Jugendpsychiatrischen Dienst des Kantons Luzern überwiesen worden sei. Der Arztbericht werde nach Erhalt nachgereicht. Bis zum heutigen Zeitpunkt ging kein entsprechender Bericht ein, weshalb von der Urteilsfähigkeit und damit von der Prozessfähigkeit des Beschwerdeführers auszugehen ist. 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Gestützt auf Art. 111a Abs. 1 AsylG wurde vorliegend auf die Durchführung des Schriftenwechsels verzichtet.</w:t>
      </w:r>
    </w:p>
    <w:p>
      <w:r>
        <w:rPr>
          <w:b/>
        </w:rPr>
        <w:t>E. 3</w:t>
      </w:r>
    </w:p>
    <w:p>
      <w:r>
        <w:t>Wie der Instruktionsrichter der ARK in der Zwischenverfügung vom 9. Dezember 2005 bereits feststellte, richtet sich die vorliegende Beschwerde nur gegen den Vollzug der von der Vorinstanz verfügten Wegweisung. Die Verneinung der Flüchtlingseigenschaft und die Ablehnung des Asylgesuchs (vgl. Ziffern 1 und 2 des Dispositivs der Verfügung vom 18. Oktober 2005) blieben unangefochten und sind mit Ablauf der Beschwerdefrist in Rechtskraft erwachsen. Auch die Anordnung der Wegweisung (Ziffer 3 des Dispositivs) ist grundsätzlich nicht mehr zu überprüfen (vgl. EMARK 2001 Nr. 21). Gegenstand des vorliegenden Beschwerdeverfahrens bildet somit im Wesentlichen die Prüfung, ob die Vorinstanz den Wegweisungsvollzug zu Recht angeordnet hat.</w:t>
      </w:r>
    </w:p>
    <w:p>
      <w:r>
        <w:rPr>
          <w:b/>
        </w:rPr>
        <w:t>E. 4.1</w:t>
      </w:r>
    </w:p>
    <w:p>
      <w:r>
        <w:t>Der Beschwerdeführer beantragt in seinem Hauptbegehren, die Sache sei zur umfassenden Abklärung und Neubeurteilung an die Vorinstanz zurückzuweisen. Er begründet dies damit, der Vollzug der Wegweisung eines psychisch angeschlagenen Jugendlichen - ohne irgendeine Abklärung im Sinne des Übereinkommens vom 20. November 1989 über die Rechte des Kindes (KRK, SR 0.107) - in eine Situation, in der er auf sich alleine gestellt werde, widerspreche nicht nur dem Kindeswohl, sondern stelle auch eine unmenschliche Behandlung im Sinne von Art. 3 der Konvention vom 4. November 1950 zum Schutze der Menschenrechte und Grundfreiheiten (EMRK, SR 0.101) dar, weshalb der Wegweisungsvollzug als unzulässig zu erachten sei.</w:t>
      </w:r>
    </w:p>
    <w:p>
      <w:r>
        <w:rPr>
          <w:b/>
        </w:rPr>
        <w:t>E. 4.2</w:t>
      </w:r>
    </w:p>
    <w:p>
      <w:r>
        <w:t>Der Beschwerdeführer wurde nach eigenen Aussagen am B._______ geboren. Nach dem massgebenden schweizerischen Recht (vgl. EMARK 1994 Nr. 11 E. 4d S. 92) wurde der Beschwerdeführer somit - an seinem 18. Geburtstag - am J._______ mündig (Art. 14 ZGB). Die KRK ist deshalb auf das vorliegende Verfahren nicht mehr anwendbar, weshalb sich Erwägungen dazu erübrigen. Bei dieser Sachlage ist das Hauptbegehren abzuweisen.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 der Entscheid der Vorinstanz blieb diesbezüglich unangefochten -,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der mit den algerischen Behörden keine Schwierigkeiten hatte (vgl. A18/25, S. 10)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Bei dieser Sachlage kann vorliegend offen gelassen werden, ob der Vollzug der Wegweisung eines psychisch angeschlagenen, unbegleiteten Minderjährigen ohne vorherige Abklärungen eine unmenschliche Behandlung im Sinne von Art. 3 EMRK darstellt.</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5.5</w:t>
      </w:r>
    </w:p>
    <w:p>
      <w:r>
        <w:t>Gestützt auf die weiterhin gültige Lageanalyse der ARK in EMARK 2005 Nr. 13 ist der Vollzug der Wegweisung nach Algerien in genereller Hinsicht als zumutbar zu bezeichnen. Auch individuelle Gründe sprechen nicht gegen die Zumutbarkeit des Wegweisungsvollzuges. Gemäss eigenen Angaben will der Beschwerdeführer als Lastenträger im Hafen von E._______ gearbeitet haben (vgl. A1/11, S- 3) und hat somit berufliche Erfahrungen. Auch wenn er mit seinem Stiefvater Probleme gehabt hätte, ist davon auszugehen, dass er in Algerien auf ein Beziehungsnetz zurückgreifen kann, zumal er in E._______ Freunde hatte (vgl. A18/25, S. 5, 17) und sich ein Onkel für ihn einsetzte (vgl. A25/15, S. 3). Im Weiteren ist zu berücksichtigen, dass aufgrund der Aktenlage der Beschwerdeführer weder physische noch psychische Schwierigkeiten hat. Nach dem Gesagten erweist sich der Vollzug der Wegweisung auch als zumutbar.</w:t>
      </w:r>
    </w:p>
    <w:p>
      <w:r>
        <w:rPr>
          <w:b/>
        </w:rPr>
        <w:t>E. 5.6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der durch die Vorinstanz verfügte Vollzug der Wegweisung zu bestätigen. Die Vorinstanz hat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im Betrag von Fr. 600.-- grundsätzlich dem Beschwerdeführer aufzuerlegen (Art. 63 Abs. 1 VwVG). Da die Beschwerde jedoch im Zeitpunkt ihrer Einreichung - der Beschwerdeführer war damals noch minderjährig - nicht als aussichtslos betrachtet werden konnte und nach wie vor von seiner Bedürftigkeit auszugehen ist (vgl. Bestätigung der Fürsorgeabhängigkeit vom 10. November 2005), sind in Gutheissung des Gesuchs um Gewährung der unentgeltlichen Rechtspflege keine Kosten zu erheben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