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D-46/2025 vom 10. Februar 2025</w:t>
      </w:r>
    </w:p>
    <w:p>
      <w:r>
        <w:t>Bundesverwaltungsgericht, 2025-02-10, DE</w:t>
      </w:r>
    </w:p>
    <w:p>
      <w:r>
        <w:rPr>
          <w:b/>
        </w:rPr>
        <w:t xml:space="preserve">Quelle: </w:t>
      </w:r>
      <w:r>
        <w:t>https://mcp.opencaselaw.ch/entscheid/bvger_D-46_2025</w:t>
      </w:r>
    </w:p>
    <w:p>
      <w:r>
        <w:t>FR: TAF D-46/2025 du 10 février 2025</w:t>
      </w:r>
    </w:p>
    <w:p>
      <w:r>
        <w:t>IT: TAF D-46/2025 del 10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w:t>
      </w:r>
    </w:p>
    <w:p>
      <w:r>
        <w:t>D-46/2025 Seite 4 Beschwerde legitimiert (Art. 105 und Art. 108 Abs. 2 AsylG; Art. 48 Abs. 1 sowie Art. 52 Abs. 1 VwVG). Auf die Beschwerde ist nach fristgerechter Leistung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w:t>
      </w:r>
    </w:p>
    <w:p>
      <w:r>
        <w:t>In der Beschwerde wurden formelle Rügen erhoben. Diese sind vorab zu beurteilen, da sie gegebenenfalls geeignet sind, eine Kassation der vor- instanzlichen Verfügung zu bewirken. Vorliegend beanstanden die Be- schwerdeführenden, die Vorinstanz habe nicht berücksichtigt, dass die Mutter des Beschwerdeführers 1 nicht nur die Beschneidung der Be- schwerdeführerin 2 fordere, sondern auch die der Töchter. Diese formelle Rüge erweist sich jedoch als klar unbegründet, hat doch die Vorinstanz in der angefochtenen Verfügung ausdrücklich festgehalten und berücksich- tigt, dass die Mutter des Beschwerdeführers 1 die Beschneidung der weib- lichen Familienmitglieder, und demnach nicht nur die der Beschwerdefüh- rerin 2, fordere. Zudem sei nicht berücksichtigt worden, dass die Mutter des Beschwerdeführers 1 gedroht habe, sie würde die älteste Tochter der Beschwerdeführenden wegnehmen und beschneiden lassen, sobald diese drei oder vier Jahre alt sei. Die Beschwerdeführenden verkennen, dass ihre älteste Tochter nicht Partei des vorliegenden Verfahrens ist, weshalb die Vorinstanz dieses Vorbringen zu Recht nicht berücksichtigt hat. Insgesamt erweisen sich die formellen Rügen damit als unbegründet. Eine Rückwei- sung der Sache zur Neubeurteilung erweist sich nicht als angezeigt und das entsprechende Rechtsbegehren ist abzuweisen.</w:t>
      </w:r>
    </w:p>
    <w:p>
      <w:r>
        <w:t>D-46/2025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w:t>
      </w:r>
    </w:p>
    <w:p>
      <w:r>
        <w:rPr>
          <w:b/>
        </w:rPr>
        <w:t>E. 6.1</w:t>
      </w:r>
    </w:p>
    <w:p>
      <w:r>
        <w:t>Das SEM begründete seinen ablehnenden Entscheid im Wesentlichen damit, dass die Vorbringen der Beschwerdeführenden keine Verfolgung im Sinne von Art. 3 AsylG erkennen liessen. Dass sie aufgrund der fehlenden Beschneidung der weiblichen Familienmitglieder nicht bei den Eltern des Beschwerdeführers 1 und aufgrund der Tradition, dass die Kindsfamilie bei den Eltern des Ehemannes zu wohnen hätte, nicht bei den Eltern der Be- schwerdeführerin 2 leben könnten, sei dem familiären Druck aufgrund lo- kaler Traditionen respektive den sozialen Lebensbedingungen zuzuschrei- ben. Nachteile, welche auf die sozialen Lebensbedingungen in einem Staat zurückzuführen seien, würden indessen keine flüchtlingsrechtliche Rele- vanz entfalten.</w:t>
      </w:r>
    </w:p>
    <w:p>
      <w:r>
        <w:rPr>
          <w:b/>
        </w:rPr>
        <w:t>E. 6.2</w:t>
      </w:r>
    </w:p>
    <w:p>
      <w:r>
        <w:t>Die Beschwerdeführenden halten dem in der Beschwerde entgegen, dass es für die Familie ein zu grosses Risiko sei, sich in Côte d’Ivoire auf- zuhalten, da es der Schwiegermutter zuzutrauen sei, dass sie die Kinder gewaltsam holen und beschneiden lassen würde. Bei den Behörden hätten sie zwar nicht um Schutz ersucht, es komme aber selten zu Verurteilungen aufgrund von weiblicher Genitalbeschneidung und die Behörden würden insbesondere im Norden und Westen von Côte d’Ivoire auf Widerstand stossen und deshalb auf aussergerichtliche Schiedsverfahren und Kom- promisse mit den Dorfvorstehern ausweichen. Sie hätten bereits ein sol- ches Schlichtungsverfahren mit der Mutter und der Delegation des Dorf- vorstehers durchgeführt, es habe aber keine Einigung erzielt werden kön- nen.</w:t>
      </w:r>
    </w:p>
    <w:p>
      <w:r>
        <w:t>D-46/2025 Seite 6</w:t>
      </w:r>
    </w:p>
    <w:p>
      <w:r>
        <w:rPr>
          <w:b/>
        </w:rPr>
        <w:t>E. 7.1</w:t>
      </w:r>
    </w:p>
    <w:p>
      <w:r>
        <w:t>Das Bundesverwaltungsgericht gelangt nach Durchsicht der Akten zum Schluss, dass die Vorbringen der Beschwerdeführenden den Anforderun- gen an die Flüchtlingseigenschaft nicht standzuhalten vermögen.</w:t>
      </w:r>
    </w:p>
    <w:p>
      <w:r>
        <w:rPr>
          <w:b/>
        </w:rPr>
        <w:t>E. 7.2</w:t>
      </w:r>
    </w:p>
    <w:p>
      <w:r>
        <w:t>Die geschilderten Nachteile, insbesondere die vorgebrachte fehlende Möglichkeit, bei der Familie des Ehemannes oder bei der Familie der Ehe- frau wohnen zu können, weisen nicht die erforderliche Intensität auf, um als asylrelevant eingestuft zu werden respektive als ernsthafte Nachteile im Sinne des Asylgesetzes zu gelten. Es ist aus den Vorbringen ebenfalls nicht ersichtlich, die Beschwerdeführenden hätten eine objektiv begrün- dete Furcht, dass sie in absehbarer Zukunft und mit hoher Wahrscheinlich- keit mit Nachteilen zu rechnen hätten, die aufgrund ihrer Intensität als asyl- rechtlich erheblich zu bezeichnen wären. Ebenso ist darauf hinzuweisen, dass sich die Beschwerdeführenden im Falle einer drohenden Zwangsbe- schneidung durch die Mutter des Beschwerdeführers 1 an die ivorischen Behörden wenden können. Es sind keine Hinweise ersichtlich, dass diese nicht schutzwillig oder schutzfähig wären. Dies insbesondere in Anbe- tracht, dass die weibliche Genitalbeschneidung in Côte d’Ivoire gesetzlich verboten ist. Etwas anderes legen die Beschwerdeführenden mit ihren Ein- wänden auch nicht substantiiert dar.</w:t>
      </w:r>
    </w:p>
    <w:p>
      <w:r>
        <w:rPr>
          <w:b/>
        </w:rPr>
        <w:t>E. 7.3</w:t>
      </w:r>
    </w:p>
    <w:p>
      <w:r>
        <w:t>Das Bundesverwaltungsgericht kommt zusammenfassend zum Schluss, dass die Beschwerdeführenden die Flüchtlingseigenschaft nicht erfüllen und die Vorinstanz die Asylgesuche damit zu Recht abgelehnt hat.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Beschwerdeführenden verfügen insbesondere in der Schweiz we- der über eine ausländerrechtliche Aufenthaltsbewilligung in der Schweiz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w:t>
      </w:r>
    </w:p>
    <w:p>
      <w:r>
        <w:t>D-46/2025 Seite 7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w:t>
      </w:r>
    </w:p>
    <w:p>
      <w:r>
        <w:t>D-46/2025 Seite 8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Bundesverwaltungsgericht geht in ständiger Praxis davon aus, dass in der Republik Côte d'Ivoire keine Situation allgemeiner Gewalt herrscht (vgl. dazu das Referenzurteil E-2349/2016 vom 16. Oktober 2017 E. 7.3; sowie u.a. Urteil E-5881/2024 vom 14. Oktober 2024 E. 8.3.1 m.w.H.). Die Beschwerdeführenden bringen in ihren Eingaben nichts Ge- genteiliges vor. Der Vollzug der Wegweisung in die Republik Côte d'Ivoire ist daher als generell zumutbar zu erachten.</w:t>
      </w:r>
    </w:p>
    <w:p>
      <w:r>
        <w:rPr>
          <w:b/>
        </w:rPr>
        <w:t>E. 9.3.3</w:t>
      </w:r>
    </w:p>
    <w:p>
      <w:r>
        <w:t>In individueller Hinsicht ist festzuhalten, dass die Beschwerdeführen- den in ihrer Heimat über ein familiäres Beziehungsnetz verfügen. Da die Beschwerdeführerin 2 während des Krieges und währenddessen ihr Ehe- mann landesabwesend war mit ihren Kindern bei ihrer Mutter gelebt hat, ist davon auszugehen, dass diese die Familie in einer Notlage wieder un- terstützen wird. Der Beschwerdeführer hat zwar keine Schulbildung, er ver- fügt aber über Berufserfahrung in verschiedenen Bereichen. Es ist davon auszugehen, dass es ihm möglich sein wird, erneut eine Arbeit zu finden und für sich und seine Familie eine wirtschaftliche Existenz aufzubauen. Zu den geltend gemachten Rückenschmerzen des Beschwerdeführers 1 ist dem Arztbericht kein Handlungsbedarf zu entnehmen. Die Beschwerde- führerin 2 hat im Zusammenhang mit ihrer Schwangerschaft sodann keine gesundheitlichen Probleme geltend gemacht. Im Übrigen ist ihrem</w:t>
      </w:r>
    </w:p>
    <w:p>
      <w:r>
        <w:t>D-46/2025 Seite 9 Gesundheitszustand bei der Prüfung der Reisefähigkeit im Rahmen der konkreten Ausgestaltung der Ausreisemodalitäten Rechnung zu tragen. Nach dem Gesagten ist nicht davon auszugehen, dass die Beschwerde- führenden bei einer Rückkehr aufgrund einer wirtschaftlichen oder medi- zinischen Notlage existenziell gefährdet wären.</w:t>
      </w:r>
    </w:p>
    <w:p>
      <w:r>
        <w:rPr>
          <w:b/>
        </w:rPr>
        <w:t>E. 9.3.4</w:t>
      </w:r>
    </w:p>
    <w:p>
      <w:r>
        <w:t>Aus dem Kindeswohl ist gemäss Art. 3 des Übereinkommens vom 20. November 1989 über die Rechte des Kindes (KRK, SR 0.107) ebenso kein Vollzugshindernis abzuleiten. Aufgrund des Alters des Kindes ist da- von auszugehen, dass die Eltern die Hauptbezugspersonen sind und das Kind sich nicht an die schweizerische Kultur und Lebensweise derart an- gepasst hätte, dass der Vollzug der Wegweisung aus der Schweiz eine Entwurzelung darstellen würde.</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in gleicher Höhe geleistete Kostenvor- schuss ist zur Bezahlung der Verfahrenskosten zu verwenden. (Dispositiv nächste Seite)</w:t>
      </w:r>
    </w:p>
    <w:p>
      <w:r>
        <w:t>D-46/2025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