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D-4698/2013 vom 23. Juli 2014</w:t>
      </w:r>
    </w:p>
    <w:p>
      <w:r>
        <w:t>Bundesverwaltungsgericht, 2014-07-23, DE</w:t>
      </w:r>
    </w:p>
    <w:p>
      <w:r>
        <w:rPr>
          <w:b/>
        </w:rPr>
        <w:t xml:space="preserve">Quelle: </w:t>
      </w:r>
      <w:r>
        <w:t>https://mcp.opencaselaw.ch/entscheid/bvger_D-4698_2013</w:t>
      </w:r>
    </w:p>
    <w:p>
      <w:r>
        <w:t>FR: TAF D-4698/2013 du 23 juillet 2014</w:t>
      </w:r>
    </w:p>
    <w:p>
      <w:r>
        <w:t>IT: TAF D-4698/2013 del 23 luglio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Nachdem das BFM mit der angefochtenen Verfügung den Beschwerdeführer gestützt auf Art. 3 AsylG als Flüchtling anerkannte und seine vorläufige Aufnahme in der Schweiz anordnete, ist nachfolgend - auch weil sich die hauptsächlichen Beschwerdeanträge darauf beschränken - einzig zu beurteilen, ob das BFM zu Recht zum Schluss gelangt ist, der Beschwerdeführer sei im Sinne von Art. 53 AsylG asylunwürdig, weshalb sein Asylgesuch abzulehnen sei.</w:t>
      </w:r>
    </w:p>
    <w:p>
      <w:r>
        <w:rPr>
          <w:b/>
        </w:rPr>
        <w:t>E. 4.1</w:t>
      </w:r>
    </w:p>
    <w:p>
      <w:r>
        <w:t>Das BFM begründete in der angefochtenen Verfügung seine Einschätzung, der Beschwerdeführer sei asylunwürdig, im Wesentlichen folgendermassen: Dem Beschwerdeführer werde von den türkischen Behörden die Unterstützung der verbotenen, mit terroristischen Mitteln operierenden THKP-C/Devrimci Sol vorgeworfen, und er sei wegen des Versuchs, die verfassungsmässige Ordnung der Türkei stürzen zu wollen, zu einer lebenslänglichen Haftstrafe verurteilt worden. Dabei seien dem Beschwerdeführer im Zusammenhang mit dem Urteil des 9. ACM Istanbul vom 30. Mai 2008 folgende konkrete Straftaten angelastet worden: Mitgliedschaft im Provinzkomitee der Organisation THKP-C/Devrimci Sol; Durchführung von Aktionen der THKP-C/Devrimci Sol; Teilnahme an einem Raubüberfall auf ein Juweliergeschäft; Besitz einer bei einem anderen Raubüberfall verwendeten Pistole; Übergabe einer Waffe der THKP-C/Devrimci Sol zur Aufbewahrung an ein anderes Mitglied; Benützung eines gefälschten Personalausweises als flüchtiger Strafgefangener; Zugehörigkeit zu einer Gruppe, welcher insgesamt dreizehn illegale politische Aktionen und elf bewaffnete Raubüberfälle angelastet würden. Zwar bestreite der Beschwerdeführer die Begehung der ihm vorgeworfenen Delikte, und dabei insbesondere die Beteiligung an bewaffneten Raubüberfällen. Zudem mache er geltend, ein diesbezügliches Geständnis sei nur unter Folter zustandegekommen. Jedoch sei der Beschwerdeführer von Mitangeklagten belastet und durch das Opfer des Raubüberfalls, einen Juwelier, identifiziert worden. Weiter sei beim Beschwerdeführer anlässlich einer polizeilichen Hausdurchsuchung eine Waffe gefunden worden, die nachweislich bei einem weiteren Raubüberfall benützt worden sei. Die Aussagen der zahlreichen Mitangeklagten seien detailliert, ergäben ein differenziertes Bild des organisatorischen Netzes der THKP-C/Devrimci Sol und würden auf die Position und Funktion des Beschwerdeführers in diesem System hinweisen. Die Urteilsschrift weise darauf hin, dass der Beschwerdeführer sehr wahrscheinlich Teil eines ausgefeilten Plans zu einer ganzen Serie von Raubüberfällen zur Mittelbeschaffung für die genannte Organisation gewesen sei. Es sei daher mit grosser Wahrscheinlichkeit davon auszugehen, dass der Beschwerdeführer für terroristische Handlungen im Namen der THKP-C/Devrimci Sol verantwortlich sei, welche im Sinne von Art. 53 AsylG als verpönt zu qualifizieren seien.</w:t>
      </w:r>
    </w:p>
    <w:p>
      <w:r>
        <w:rPr>
          <w:b/>
        </w:rPr>
        <w:t>E. 4.2</w:t>
      </w:r>
    </w:p>
    <w:p>
      <w:r>
        <w:t>Diesen Argumenten wurde in der Beschwerdeschrift im Wesentlichen entgegengehalten, die Vorinstanz habe eine unrichtige, aktenwidrige Feststellung des Sachverhalts vorgenommen, was fälschlicherweise zur Annahme eines Asylausschlussgrunds geführt habe. Zunächst sei der Beschwerdeführer nicht, wie in der angefochtenen Verfügung behauptet, Mitglied von Dev-Sol, sondern einer Organisation namens Dev-Yol gewesen. Im Gegensatz zu Dev-Sol, die den bewaffneten Kampf als politisches Mittel propagiert habe, sei Gewalt seitens von Dev-Yol nur zum Zweck der Selbstverteidigung angewandt worden. Angesichts dessen wie auch aufgrund der unterschiedlichen Zielsetzungen seien die beiden Gruppierungen streng voneinander zu unterscheiden. Der Beschwerdeführer habe somit keineswegs die Zugehörigkeit zu einer Gruppierung zugegeben, welche terroristische Ziele verfolgt habe. Soweit er gegenüber türkischen Sicherheitsbehörden Geständnisse abgelegt habe, seien diese unter Folter erzwungen worden, und diesen Umstand habe er bereits gegenüber der türkischen Staatsanwaltschaft und dem Staatssicherheitsgericht vorgebracht. Des Weiteren hätten die Mitangeklagten wie auch der betroffene Juwelier vor Gericht ausgesagt, dass sie den Beschwerdeführer als möglichen Täter ausschliessen würden. Dies stehe in offensichtlichem Widerspruch zu den Behauptungen in der angefochtenen Verfügung. Sogar die türkische Staatsanwaltschaft habe im Anklagepunkt der Beteiligung an einem Raubüberfall einen Freispruch beantragt und den Beschwerdeführer lediglich der Mitgliedschaft bei der Organisation Dev-Yol für schuldig befunden. Die Verurteilung durch das Staatssicherheitsgericht habe sich auf das angebliche Geständnis des Beschwerdeführers abgestützt. Gegen dieses Urteil habe er im Übrigen eine Beschwerde beim Europäischen Gerichtshof für Menschenrechte erhoben, die noch hängig sei. Schliesslich sei selbst unter der Annahme, dass der Beschwerdeführer die angeblichen Delikte tatsächlich begangen hätte, ein Ausschluss vom Asyl angesichts der seither vergangenen Zeit als unverhältnismässig zu erachten.</w:t>
      </w:r>
    </w:p>
    <w:p>
      <w:r>
        <w:rPr>
          <w:b/>
        </w:rPr>
        <w:t>E. 4.3</w:t>
      </w:r>
    </w:p>
    <w:p>
      <w:r>
        <w:t>Im Rahmen der Vernehmlassung durch das BFM und der diesbezüglichen Replik des Beschwerdeführers wurden im Wesentlichen die bereits genannten Argumente wiederholt.</w:t>
      </w:r>
    </w:p>
    <w:p>
      <w:r>
        <w:rPr>
          <w:b/>
        </w:rPr>
        <w:t>E. 5.1</w:t>
      </w:r>
    </w:p>
    <w:p>
      <w:r>
        <w:t>Die geltende Praxis in Bezug auf den vom BFM im vorliegenden Fall angerufenen Asylausschlussgrund der "verwerflichen Handlungen" im Sinne von Art. 53 AsylG stellt sich in den Grundzügen folgendermassen dar: Unter den Begriff der "verwerflichen Handlungen" (vgl. BVGE 2011/10 E. 6 S. 131, 2011/29 E. 9.2.2; Entscheidungen und Mitteilungen der Schweizerischen Asylrekurskommission [EMARK] 1993 Nr. 8 E. 6 S. 49 ff., 1996 Nr. 18 E. 5 ff., 2002 Nr. 9) fallen solche Delikte, die dem abstrakten Verbrechensbegriff von Art. 9 Abs. 1 StGB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Liegt eine entsprechende Delinquenz vor, ist ausserdem zu prüfen, ob die Rechtsfolge des Asylausschlusses auch eine verhältnismässige Massnahme darstellt (siehe EMARK 1996 Nr. 40 S. 354 f., 2002 Nr. 9 S. 82 ff.).</w:t>
      </w:r>
    </w:p>
    <w:p>
      <w:r>
        <w:rPr>
          <w:b/>
        </w:rPr>
        <w:t>E. 5.2</w:t>
      </w:r>
    </w:p>
    <w:p>
      <w:r>
        <w:t>Aus der Anbindung des Asylausschlussgrundes der "verwerflichen Handlungen" im Sinne von Art. 53 AsylG an den Verbrechensbegriff von Art. 9 Abs. 1 StGB ergibt sich, dass in Bezug auf die in Frage stehenden Handlungen der betreffenden Person eine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etwa die Urteile des Bundesverwaltungsgerichts D-5243/2010 vom 26. August 2011 E. 6.3.4 f. sowie D-4291/2012 vom 26. Juli 2013 E. 5.3 f.). Über die genannten Anwendungskriterien von Art. 53 AsylG hinaus ist ferner festzuhalten, dass gemäss gültiger Praxis die alleinige Tatsache einer Mitgliedschaft bei einer als extremistisch aufzufassenden Organisation nicht zur Folgerung der Asylunwürdigkeit zu führen vermag (EMARK 2002 Nr. 9 E. 7c, 1998 Nr. 12 E. 5). Vielmehr ist im Einzelfall zu prüfen, welchen eigenen Tatbeitrag die betreffende Person selbst geleistet hat.</w:t>
      </w:r>
    </w:p>
    <w:p>
      <w:r>
        <w:rPr>
          <w:b/>
        </w:rPr>
        <w:t>E. 6.1</w:t>
      </w:r>
    </w:p>
    <w:p>
      <w:r>
        <w:t>Im vorliegenden Fall ist mit Blick auf die in den vorinstanzlichen Akten enthaltenen Beweismittel (türkische Justizakten) zunächst Folgendes festzustellen: Gemäss der auszugsweisen, durch das BFM angefertigten deutschen Übersetzung einer Anklageschrift der Staatsanwaltschaft Istanbul vom 9. Mai 1996 soll der Beschwerdeführer im Rahmen der polizeilichen Untersuchungen ausgesagt haben, dass er am 17. Oktober 1995 gemeinsam mit C._______, D._______ und E._______ einen Raubüberfall auf das Juweliergeschäft "F._______" verübt habe. Der betroffene Juwelier namens G._______ soll den Beschwerdeführer als jene Person erkannt haben, welche ihn mit einem Kolbenschlag auf die Schulter gezwungen habe, sich auf den Boden zu legen. Gemäss einer auszugsweisen Übersetzung des Urteils des 9. ACM Istanbul vom 30. Mai 2008 soll der Beschwerdeführer im Polizeiverhör ausgesagt haben, dass er am 17. Oktober 1995 zusammen mit C._______, D._______ und E._______ einen Raubüberfall auf das Juweliergeschäft "F._______" verübt habe. Dabei soll der Juwelier G._______ den Beschwerdeführer identifiziert haben, und die Mitangeklagten C._______ und D._______ sollen ausgesagt haben, dass der Beschwerdeführer am Überfall beteiligt gewesen sei. Die beiden genannten Dokumente enthalten weitere Angaben zu den dem Beschwerdeführer vorgeworfenen Tathandlungen, so der Mitgliedschaft im Provinzkomitee Istanbul der Organisation Devrimci Yol beziehungsweise der THKP-C, der Beteiligung an (nicht weiter bezeichneten) illegalen politischen Aktionen, dem Besitz und der Weitergabe einer Waffe sowie der Flucht aus dem Strafvollzug unter Benützung eines gefälschten Personalausweises. Dabei ist ausserdem festzustellen, dass sich aus den vorliegenden auszugsweisen Übersetzungen der genannten Aktenstücke nicht entnehmen lässt, die Mitangeklagten wie auch der betroffene Juwelier hätten, wie in der Beschwerdeschrift geltend gemacht wurde, vor Gericht ausgesagt, dass sie den Beschwerdeführer als möglichen Täter ausschliessen würden. Auch für das Vorbringen des Beschwerdeführers, sogar die türkische Staatsanwaltschaft habe im Anklagepunkt der Beteiligung an einem Raubüberfall einen Freispruch beantragt und ihn lediglich der Mitgliedschaft bei der Organisation Dev-Yol für schuldig befunden, lässt sich aus den vorliegenden Übersetzungen der genannten Dokumente kein Beleg entnehmen. Die Ausführungen in der Beschwerdeschrift und in der Replik beschränken sich auf die soeben genannten Vorbringen, während nicht näher dargelegt wird, inwiefern sich der behauptete Sachverhalt - welchen der Beschwerdeführer bereits im Rahmen seiner Befragung vom 4. Juni 2010 vorbrachte (entsprechendes Protokoll, S. 9 f.) - aus den vorliegenden Akten ergeben soll.</w:t>
      </w:r>
    </w:p>
    <w:p>
      <w:r>
        <w:rPr>
          <w:b/>
        </w:rPr>
        <w:t>E. 6.2</w:t>
      </w:r>
    </w:p>
    <w:p>
      <w:r>
        <w:t>Aus den als Beweismittel - auszugsweise in Übersetzung - vorliegenden Akten der türkischen Strafjustiz lässt sich nicht eindeutig ableiten, ob der Beschwerdeführer die ihm vorgeworfenen gemeinrechtlichen Delikte tatsächlich begangen hat. Immerhin ist mit Blick auf die vorhandenen Akten aber festzustellen, dass in keiner Weise ersichtlich ist, der Einwand der Verteidigung, der Beschwerdeführer sei durch Folter zu Geständnissen gezwungen worden, sei vom fraglichen Gericht bei der Urteilsfindung berücksichtigt worden. Unerklärlich erscheint ausserdem die übermässig lange Verfahrensdauer, die vom Zeitpunkt der dem Beschwerdeführer vorgeworfenen Delikte - die allesamt vor dem 1. Dezember 1995 begangen worden sein sollen - bis zum diesbezüglichen erstinstanzlichen Urteil des 9. ACM Istanbul vom 30. Mai 2008 insgesamt zwölfeinhalb Jahre betrug. Diese Verfahrensdauer ist zumal insofern nicht nachvollziehbar, als der Beschwerdeführer bereits am 26. November 1995 verhaftet wurde und in der Folge bis zu seiner Entlassung am 8. Februar 2005 andauernd inhaftiert war. Die Verletzung menschenrechtlicher und verfahrensrechtlicher Mindeststandards durch die türkischen Justizbehörden - die überlange Verfahrensdauer wie auch der Umstand, dass mit erheblicher Wahrscheinlichkeit unter Anwendung von Folter entstandene Aussagen gerichtlich verwendet wurden - bilden zumindest Indizien dafür, dass die Massnahmen der türkischen Behörden nicht alleine gemeinrechtlich begründet sind, sondern auf das politische Engagement des Beschwerdeführers zurückzuführen sind. Allerdings erübrigt es sich aufgrund der nachfolgenden Erwägung ohnehin, die Frage abschliessend zu beantworten, ob der Beschwerdeführer die ihm vorgeworfenen gemeinrechtlichen Delikte tatsächlich begangen hat oder nicht.</w:t>
      </w:r>
    </w:p>
    <w:p>
      <w:r>
        <w:rPr>
          <w:b/>
        </w:rPr>
        <w:t>E. 6.3</w:t>
      </w:r>
    </w:p>
    <w:p>
      <w:r>
        <w:t>Zu berücksichtigen ist nämlich ausserdem, dass - wäre von verwerflichen Handlungen des Beschwerdeführers im Sinne von Art. 53 AsylG auszugehen - in einem weiteren Schritt zu prüfen wäre, ob die Rechtsfolge des Asylausschlusses auch eine verhältnismässige Massnahme darstellt (siehe EMARK 1996 Nr. 40 S. 354 f., 2002 Nr. 9 S. 82 ff.). In Betracht zu ziehen sind dabei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Mit Blick auf die betreffenden Kriterien ist zunächst darauf hinzuweisen, dass die dem Beschwerdeführer durch die türkischen Justizbehörden vorgeworfenen Delikte allesamt den Zeitraum vor dem 1. Dezember 1995 betreffen. Den vorliegenden Aktenstücken türkischer Gerichte sind keinerlei Hinweise dafür zu entnehmen, der Beschwerdeführer könnte seither irgendwelche andere gemeinrechtliche Delikte begangen haben. Zum Zeitpunkt der damaligen Tatvorwürfe war der heute einundvierzigjährige Beschwerdeführer zweiundzwanzig Jahre alt. Nachdem er sich zwischen dem 26. November 1995 und dem 8. Februar 2005 in der Türkei in Haft befunden hatte, heiratete er im Mai 2005 seine heutige Ehefrau, mit welcher er ein heute siebenjähriges Kind hat. Die Ehefrau des Beschwerdeführers und das gemeinsame Kind halten sich - derzeit als Asylsuchende mit hängigem erstinstanzlichem Verfahren - seit dem 23. März 2011 ebenfalls in der Schweiz auf. Der Beschwerdeführer ist somit - soweit erkennbar - jedenfalls seit dem 1. Dezember 1995 strafrechtlich unbescholten und befindet sich heute in Lebensumständen, die sich in erheblicher Weise zu seinen Gunsten verändert haben. Weiter ist festzustellen, dass dem Beschwerdeführer durch die türkische Justiz die Beteiligung an Raub als schwerstes gemeinrechtliches Delikt vorgeworfen wird, womit nach schweizerischer Rechtslage bereits die strafrechtliche Verjährung eingetreten wäre (vgl. Art. 97 Abs. 1 Bst. b i.V.m. Art. 140 StGB). Ungeachtet der Frage, ob die gemeinrechtlichen Tatvorwürfe der türkischen Justizbehörden gerechtfertigt sind oder nicht, wäre es folglich unter Berücksichtigung aller wesentlichen Umstände und gestützt auf die geltende Praxis als unverhältnismässig zu erachten, den Beschwerdeführer von der Gewährung des Asyls auszuschliessen.</w:t>
      </w:r>
    </w:p>
    <w:p>
      <w:r>
        <w:rPr>
          <w:b/>
        </w:rPr>
        <w:t>E. 7</w:t>
      </w:r>
    </w:p>
    <w:p>
      <w:r>
        <w:t>Nach dem Gesagten ist die - auf den Punkt des Ausschlusses vom Asyl und die damit verbundenen Rechtsfolgen beschränkte - Beschwerde gutzuheissen, und die Ziffern 2-6 der angefochtenen Verfügung sind aufzuheben. Das BFM ist zudem anzuweisen, dem Beschwerdeführer in der Schweiz Asyl zu gewähren.</w:t>
      </w:r>
    </w:p>
    <w:p>
      <w:r>
        <w:rPr>
          <w:b/>
        </w:rPr>
        <w:t>E. 8.1</w:t>
      </w:r>
    </w:p>
    <w:p>
      <w:r>
        <w:t>Bei diesem Ausgang des Verfahrens sind keine Kosten zu erheben (Art. 63 Abs. 3 VwVG i.V.m. Art. 37 VGG).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1'300.- (inkl. Auslagen und Mehrwertsteuer) als Parteientschädigung zuzusprechen. Dieser Betrag ist dem Beschwerdeführer durch das BFM zu entrichten.</w:t>
      </w:r>
    </w:p>
    <w:p>
      <w:r>
        <w:rPr>
          <w:b/>
        </w:rPr>
        <w:t>E. 8.3</w:t>
      </w:r>
    </w:p>
    <w:p>
      <w:r>
        <w:t>Der Anspruch auf Honorar des als amtlicher Anwalt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