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D-4697/2013 vom 4. Oktober 2013</w:t>
      </w:r>
    </w:p>
    <w:p>
      <w:r>
        <w:t>Bundesverwaltungsgericht, 2013-10-04, DE</w:t>
      </w:r>
    </w:p>
    <w:p>
      <w:r>
        <w:rPr>
          <w:b/>
        </w:rPr>
        <w:t xml:space="preserve">Quelle: </w:t>
      </w:r>
      <w:r>
        <w:t>https://mcp.opencaselaw.ch/entscheid/bvger_D-4697_2013</w:t>
      </w:r>
    </w:p>
    <w:p>
      <w:r>
        <w:t>FR: TAF D-4697/2013 du 4 octobre 2013</w:t>
      </w:r>
    </w:p>
    <w:p>
      <w:r>
        <w:t>IT: TAF D-4697/2013 del 4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der Akten durch das Gericht ist festzustellen, dass das BFM in der angefochtenen Verfügung überzeugend dargelegt hat, weshalb die Verfolgungsvorbringen des Beschwerdeführers den Anforderungen an die Flüchtlingseigenschaft nicht zu genügen vermögen. Es kann deshalb vorab auf die vorinstanzlichen Erwägungen verwiesen werden (vgl. Bst. D. vorstehend). Die Vorbringen in der Beschwerde vom 21. August 2013 sind nicht geeignet, eine Änderung der vorinstanzlichen Verfügung zu bewirken. Der Argumentation der Vorinstanz werden keine stichhaltigen und substanziierten Gründe entgegengesetzt. Nach Kenntnissen des Gerichts ist es möglich, von türkischen Strafverfolgungsbehörden durchgeführte Untersuchungsmassnahmen ohne erheblichen Aufwand mit beweistauglichen Unterlagen zu dokumentieren, weshalb die Behauptung beziehungsweise die Beteuerung des Beschwerdeführers in der Beschwerde, er habe kein Dokument erhalten, das die jeweiligen Festnahmen bestätige, nicht glaubhaft ist.</w:t>
      </w:r>
    </w:p>
    <w:p>
      <w:r>
        <w:rPr>
          <w:b/>
        </w:rPr>
        <w:t>E. 5.2</w:t>
      </w:r>
    </w:p>
    <w:p>
      <w:r>
        <w:t>Zusammenfassend ist festzustellen, dass es dem Beschwerdeführer nicht gelungen ist, nachzuweisen oder glaubhaft zu machen, dass er in der Heimat ernsthafte Nachteile gemäss Art. 3 AsylG erlitten hat, solche bei der Ausreise zu befürchten hatte oder bei einer Rückkehr in die Türkei befürchten müsste. Er erfüllt somit die Voraussetzungen zur Zuerkennung der Flüchtlingseigenschaft nicht, weshalb die Vorinstanz sein Asylbegehren zu Recht abgelehnt hat. Es erübrigt sich deshalb, auf die weiteren Vorbringen in der Rechtsmitteleingabe sowie die eingereichten Beweismittel im Einzelnen einzugehen oder den Eingang weiterer Unterlagen abzuwarten, da sie an obiger Erkenntnis nicht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Weder herrscht in der Türkei eine Situation allgemeiner Gewalt noch besteht aufgrund der Akten ein Grund zur Annahme, der Beschwerdeführer gerate im Falle einer Rückkehr in die Türkei aus individuellen Gründen wirtschaftlicher, sozialer oder gesundheitlicher Natur in eine existenzbedrohende Situation, die den Vollzug der Wegweisung als unzumutbar erscheinen liesse. Der Beschwerdeführer ist - soweit aus den Akten ersichtlich - gesund, hat eine Berufsausbildung als Bäcker absolviert und verfügt über ein familiäres Beziehungsnetz im Heimatland, womit sich der Vollzug der Wegweisung auch als zumutbar erweist.</w:t>
      </w:r>
    </w:p>
    <w:p>
      <w:r>
        <w:rPr>
          <w:b/>
        </w:rPr>
        <w:t>E. 7.6</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7.7</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16. September 2013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