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D-4693/2016 vom 7. Juli 2016</w:t>
      </w:r>
    </w:p>
    <w:p>
      <w:r>
        <w:t>Bundesverwaltungsgericht, 2016-07-07, FR</w:t>
      </w:r>
    </w:p>
    <w:p>
      <w:r>
        <w:rPr>
          <w:b/>
        </w:rPr>
        <w:t xml:space="preserve">Quelle: </w:t>
      </w:r>
      <w:r>
        <w:t>https://mcp.opencaselaw.ch/entscheid/bvger_D-4693_2016_d20160707</w:t>
      </w:r>
    </w:p>
    <w:p>
      <w:r>
        <w:t>FR: TAF D-4693/2016 du 7 juillet 2016</w:t>
      </w:r>
    </w:p>
    <w:p>
      <w:r>
        <w:t>IT: TAF D-4693/2016 del 7 luglio 2016</w:t>
      </w:r>
    </w:p>
    <w:p>
      <w:pPr>
        <w:pStyle w:val="Heading2"/>
      </w:pPr>
      <w:r>
        <w:t>Regeste</w:t>
      </w:r>
    </w:p>
    <w:p>
      <w:r>
        <w:t>Ex&amp;eacute;cution du renvoi | Exécution du renvoi ; décision du SEM du 7 juillet 2016 / N</w:t>
      </w:r>
    </w:p>
    <w:p>
      <w:pPr>
        <w:pStyle w:val="Heading2"/>
      </w:pPr>
      <w:r>
        <w:t>Erwägungen</w:t>
      </w:r>
    </w:p>
    <w:p>
      <w:r>
        <w:rPr>
          <w:b/>
        </w:rPr>
        <w:t>E. 4</w:t>
      </w:r>
    </w:p>
    <w:p>
      <w:r>
        <w:t>avril 2016 consid. 7.2 et jurisp. cit.), qu’en l’espèce, il ne ressort du dossier aucun élément dont on pourrait inférer que l’exécution du renvoi du recourant à Kaboul, où il a vécu et étudié durant les deux ans précédant son départ, impliquerait une mise en danger concrète pour des motifs qui lui seraient propres ; qu’il est jeune, sans charge de famille et apte à travailler, qu’il a assurément dû se créer sur place, durant ses études, un réseau social qu’il lui sera loisible, le cas échéant, de réactiver et qu’il n’a pas allégué ni a fortiori établi qu'il souffrait de graves problèmes de santé pour lesquels il ne pourrait pas être soigné dans son pays (cf. ATAF 2011/50 consid. 8.3 et ATAF 2009/2 consid. 9.3.2 ; JICRA 2005 no 24 consid. 10.1 et JICRA 2003 no 24 consid. 5b), soit autant de facteurs qui devraient lui permettre de se réinstaller sans rencontrer d'excessives difficultés, que dans le cadre de son recours, il a certes allégué qu'il ne pouvait compter sur aucun soutien familial en cas de retour à Kaboul,</w:t>
      </w:r>
    </w:p>
    <w:p>
      <w:r>
        <w:t>D-4693/2016 Page 6 qu'il ne s'agit toutefois que d'une simple affirmation, qu'aucun élément concret ni moyen de preuve fiable et déterminant ne viennent étayer ; qu'elle doit en outre être prise en considération avec retenue, étant donné le manque général de crédibilité du récit de l'intéressé (cf. supra) et le caractère divergent de ses déclarations à ce sujet (cf. procès-verbal de l’audition du 22 juin 2016, Q. 17, 56, 114 et 122), qu'au demeurant, il ressort de ses déclarations – en admettant que celles- ci aient été exhaustives à ce sujet, ce qui n'est pas démontré au vu de leur caractère divergent – d’une part qu’au moins une tante maternelle résiderait à Kaboul et, d’autre part, que celle-ci l’aurait déjà hébergé lors de son séjour dans cette ville (cf. ibidem, Q. 56, 114 et 122), que l'on peut donc considérer que, malgré les difficultés inhérentes à un retour dans son pays d'origine, le recourant pourra, du moins dans un premier temps, requérir le soutien de proches ; qu'il lui sera en outre loisible de requérir une aide financière de la part de sa famille, laquelle est aisée selon ses dires (cf. ibidem, Q. 31), qu'il y a également lieu de rappeler que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du recourant s'avère ainsi également raisonnablement exigible (cf. art. 83 al. 4 LEtr), qu'elle est enfin possible (cf. art. 83 al. 2 LEtr ; ATAF 2008/34 consid. 12 p. 513 ss et jurisp. cit.), le recourant étant tenu de collaborer à l’obtention des documents lui permettant de retourner dans son pays d'origine (cf. art. 8 al. 4 LAsi),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w:t>
      </w:r>
    </w:p>
    <w:p>
      <w:r>
        <w:t>D-4693/2016 Page 7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D-4693/2016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