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D-4692/2018 vom 29. August 2018</w:t>
      </w:r>
    </w:p>
    <w:p>
      <w:r>
        <w:t>Bundesverwaltungsgericht, 2018-08-29, DE</w:t>
      </w:r>
    </w:p>
    <w:p>
      <w:r>
        <w:rPr>
          <w:b/>
        </w:rPr>
        <w:t xml:space="preserve">Quelle: </w:t>
      </w:r>
      <w:r>
        <w:t>https://mcp.opencaselaw.ch/entscheid/bvger_D-4692_2018</w:t>
      </w:r>
    </w:p>
    <w:p>
      <w:r>
        <w:t>FR: TAF D-4692/2018 du 29 août 2018</w:t>
      </w:r>
    </w:p>
    <w:p>
      <w:r>
        <w:t>IT: TAF D-4692/2018 del 29 agosto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Die Fragen der Wegweisung und des Vollzugs prüft die Vorinstanz materiell,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3.1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3.2</w:t>
      </w:r>
    </w:p>
    <w:p>
      <w:r>
        <w:t>Die Vorinstanz stellt in der angefochtenen Verfügung zutreffend fest, dass es sich bei Rumänien gemäss Beschluss des Bundesrates vom 14. Dezember 2007 um einen sicheren Drittstaat im Sinne von Art. 6a Abs. 2 Bst. b AsylG handelt. Die rumänischen Behörden haben dem Beschwerdeführer am 18. November 2013 Asyl gewährt und dessen Rückübernahme am 13. Juli 2018 zugestimmt (vgl. SEM Act. C14). Dies wird vom Beschwerdeführer zu Recht nicht in Abrede gestellt. Den Akten sind sodann keine Hinweise auf eine Verfolgung zu entnehmen, die geeignet wären, die Regelvermutung des verfolgungssicheren Drittstaates im konkreten Fall umzustossen. Solches bringt der Beschwerdeführer auch nicht vor.</w:t>
      </w:r>
    </w:p>
    <w:p>
      <w:r>
        <w:rPr>
          <w:b/>
        </w:rPr>
        <w:t>E. 3.3</w:t>
      </w:r>
    </w:p>
    <w:p>
      <w:r>
        <w:t>Das SEM ist demnach auf das (neuerliche) Asylgesuch zu Recht nicht eingetreten.</w:t>
      </w:r>
    </w:p>
    <w:p>
      <w:r>
        <w:rPr>
          <w:b/>
        </w:rPr>
        <w:t>E. 4</w:t>
      </w:r>
    </w:p>
    <w:p>
      <w:r>
        <w:t>Gemäss Art. 44 AsylG verfügt das SEM in der Regel die Wegweisung aus der Schweiz, wenn es das Asylgesuch ablehnt oder darauf nicht eintritt. Der Beschwerdeführer verfügt (derzeit) weder über eine ausländerrechtliche Aufenthaltsbewilligung noch über einen Anspruch auf Erteilung einer solchen (vgl. BVGE 2009/50 E. 9 S. 733). Die Wegweisung wurde zu Recht angeordnet.</w:t>
      </w:r>
    </w:p>
    <w:p>
      <w:r>
        <w:rPr>
          <w:b/>
        </w:rPr>
        <w:t>E. 5.1</w:t>
      </w:r>
    </w:p>
    <w:p>
      <w:r>
        <w:t>Das SEM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Der Vollzug der Wegweisung ist vorliegend in Beachtung dieser massgeblichen völker- und landesrechtlichen Bestimmungen zulässig, da der Beschwerdeführer in einen Drittstaat (Rumänien) reisen kann, in dem er als Flüchtling anerkannt wurde und daher Schutz vor Rückschiebung im Sinne von Art. 5 Abs. 1 AsylG findet. Aufgrund der Akten liegen ferner keine Anhaltspunkte dafür vor, dass der Beschwerdeführer für den Fall einer Ausschaffung nach Rumänien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5.3</w:t>
      </w:r>
    </w:p>
    <w:p>
      <w:r>
        <w:t>Hinsichtlich seines Wunschs um Zusammenleben mit seiner Verlobten und dem Kind ist festzustellen, dass der Beschwerdeführer in seinem neuerlichen Asylgesuch keine flüchtlingsrechtliche Verfolgung geltend machte. Er begründete dieses vielmehr ausschliesslich mit dem Wunsch, mit seiner Verlobten und dem Kind zusammenleben zu wollen. Angesichts dieser Sachlage ist davon auszugehen, dass er bewusst in Umgehung der anwendbaren Gesetzesbestimmungen erneut in die Schweiz eingereist ist und hierzulande einzig mit dem Ziel der Familienzusammenführung ein neuerliches Asylgesuch gestellt hat. Dieses Vorgehen ist jedoch als Rechtsumgehung zu qualifizieren und kann nicht geschützt werden. Anders zu entscheiden würde bedeuten, die Umgehung der im Bundesgesetz vom 16. Dezember 2005 über die Ausländerinnen und Ausländer (AuG, SR 142.20) vorgesehenen Bestimmungen zum Familiennachzug zu schützen (vgl. etwa die Urteile des BVGer D-498/2018 vom 2. Februar 2018 E. 5.3, D-5268/2017 vom 22. Januar 2018 und E-2011/2017 vom 29. September 2017). Die Frage nach einem allfälligen Anspruch auf Regelung des Aufenthalts des Beschwerdeführers in der Schweiz als Verlobter beziehungsweise Vater hier vorläufig aufgenommener Personen ist von der zuständigen kantonalen Migrationsbehörde zu beurteilen (vgl. EMARK 2002 Nr. 6 E. 5 S. 44 f.). Es bleibt ihm unbenommen, ein Gesuch um Erteilung einer Aufenthaltsbewilligung respektive um Familienzusammenführung bei der dafür zuständigen Behörde einzureichen. Im entsprechenden Verfahren ist wiederum Art. 8 EMRK Rechnung zu tragen. Der mit der Trennung einhergehende Eingriff ist verhältnismässig, zumal die Aufrechterhaltung des Kontakts auch bei der räumlichen Trennung möglich ist und nur von vorübergehender Dauer wäre, sofern das Familiennachzugsverfahren positiv verlaufen würde.</w:t>
      </w:r>
    </w:p>
    <w:p>
      <w:r>
        <w:rPr>
          <w:b/>
        </w:rPr>
        <w:t>E. 5.4</w:t>
      </w:r>
    </w:p>
    <w:p>
      <w:r>
        <w:t>Der Vollzug gemäss Art. 83 Abs. 4 AuG kann für Ausländerinnen und Ausländer unzumutbar sein, wenn sie im Heimat- oder Herkunftsstaat respektive Drittstaat aufgrund von Situationen wie Krieg, Bürgerkrieg, allgemeiner Gewalt und medizinischer Notlage konkret gefährdet sind. Es ist dem SEM zuzustimmen, dass weder die allgemeine Situation in Rumänien noch individuelle Gründe des Beschwerdeführers gegen die Zumutbarkeit des Wegweisungsvollzugs nach Rumänien sprechen.</w:t>
      </w:r>
    </w:p>
    <w:p>
      <w:r>
        <w:rPr>
          <w:b/>
        </w:rPr>
        <w:t>E. 5.5</w:t>
      </w:r>
    </w:p>
    <w:p>
      <w:r>
        <w:t>Der Vollzug der Wegweisung ist schliesslich nach Art. 83 Abs. 2 AuG möglich, weil die rumänischen Behörden einer Rückübernahme des Beschwerdeführers ausdrücklich zugestimmt haben.</w:t>
      </w:r>
    </w:p>
    <w:p>
      <w:r>
        <w:rPr>
          <w:b/>
        </w:rPr>
        <w:t>E. 5.6</w:t>
      </w:r>
    </w:p>
    <w:p>
      <w:r>
        <w:t>Zusammenfassend ist der Wegweisungsvollzug zulässig, zumutbar und möglich, womit die Anordnung einer vorläufigen Aufnahme ausser Betracht fällt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Der Antrag auf Gewährung der unentgeltlichen Prozessführung ist abzuweisen, da die Begehren - wie sich aus den vorstehenden Erwägungen ergibt - als aussichtlos zu bezeichnen waren, womit die kumulativen Voraussetzungen von Art. 65 Abs. 1 VwVG nicht erfüllt sind.</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