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D-4690/2013 vom 8. April 2014</w:t>
      </w:r>
    </w:p>
    <w:p>
      <w:r>
        <w:t>Bundesverwaltungsgericht, 2014-04-08, DE</w:t>
      </w:r>
    </w:p>
    <w:p>
      <w:r>
        <w:rPr>
          <w:b/>
        </w:rPr>
        <w:t xml:space="preserve">Quelle: </w:t>
      </w:r>
      <w:r>
        <w:t>https://mcp.opencaselaw.ch/entscheid/bvger_D-4690_2013</w:t>
      </w:r>
    </w:p>
    <w:p>
      <w:r>
        <w:t>FR: TAF D-4690/2013 du 8 avril 2014</w:t>
      </w:r>
    </w:p>
    <w:p>
      <w:r>
        <w:t>IT: TAF D-4690/2013 del 8 aprile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Dabei gilt für die zum Zeitpunkt des Inkrafttretens der Änderung hängigen Mehrfachgesuche bisheriges Recht in der Fassung vom 1. Januar 2008 (vgl. Abs. 2 der Übergangsbestimmung zur Änderung des AsylG vom 14. Dezember 2012).</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die unrichtige oder unvollständige Feststellung des Sachverhalts und die Unangemessenheit gerügt werden (Art. 106 aAbs. 1 AsylG i.V.m. mit Abs. 2 der Übergangsbestimmung zur Änderung des AsylG vom 14. Dezember 2012).</w:t>
      </w:r>
    </w:p>
    <w:p>
      <w:r>
        <w:rPr>
          <w:b/>
        </w:rPr>
        <w:t>E. 3.1</w:t>
      </w:r>
    </w:p>
    <w:p>
      <w:r>
        <w:t>Gemäss aArt. 32 Abs. 2 Bst. e AsylG wird auf ein Asylgesuch nichteingetreten,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Beschwerden gegen Nichteintretensentscheide, mit denen es das BFM der Form nach ablehnt, das Asylgesuch auf seine Begründetheit hin zu überprüfen (aArt. 32-35a AsylG), ist die Beurteilungskompetenz der Beschwerdeinstanz grundsätzlich auf die Frage beschränkt, ob die Vorinstanz zu Recht auf das Asylgesuch nicht eingetreten ist (vgl. BVGE 2011/9 E. 5 S. 116). Dementsprechend hat die Beschwerdeinstanz, erachtet sie das Nichteintreten auf das Asylgesuch als unrechtmässig, sich einer selbständigen materiellen Prüfung zu enthalten, die angefochtene Nichteintretensverfügung aufzuheben und die Sache zu neuer Entscheidung an die Vorinstanz zurückzuweisen (vgl. BVGE 2011/30 E. 3 S. 568; 2011/9 E. 5 S. 116).</w:t>
      </w:r>
    </w:p>
    <w:p>
      <w:r>
        <w:rPr>
          <w:b/>
        </w:rPr>
        <w:t>E. 3.3</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die Anwendung von aArt. 32 Abs. 2 Bst. e AsylG setzt sodann eine summarische materielle Prüfung der Glaubhaftigkeit der Vorbringen voraus, aus der sich das offensichtliche Fehlen von Hinweisen auf die Erfüllung der Flüchtlingseigenschaft beziehungsweise auf die Voraussetzungen der Gewährung des vorübergehenden Schutzes ergibt (vgl. BVGE 2009/53 E.4.2; 2008/57 E. 3.2 und E. 3.3).</w:t>
      </w:r>
    </w:p>
    <w:p>
      <w:r>
        <w:rPr>
          <w:b/>
        </w:rPr>
        <w:t>E. 4.1</w:t>
      </w:r>
    </w:p>
    <w:p>
      <w:r>
        <w:t>Der Beschwerdeführer hat unbestrittenermassen in der Schweiz bereits erfolglos zwei Asylverfahren durchlaufen, wobei mit D-3615/2010 letztmals materiell über die Flüchtlingseigenschaft des Beschwerdeführers befunden und diese verneint wurde. Es stellt sich vor diesem Hintergrund im vorliegenden Verfahren die Frage, ob im Sinne von aArt. 32 Abs. 2 Bst. e AsylG in der Zwischenzeit Ereignisse eingetreten sind, die geeignet sind, die Flüchtlingseigenschaft zu begründen (die zweite Tatbestandsvariante dieser Bestimmung fällt in casu von vornherein ausser Betracht, da die Schutzbedürftigkeit im Sinne von Art. 66 ff. AsylG durch den Bundesrat für bestimmte Personengruppen definiert wird, was in Zusammenhang mit Asylsuchenden aus dem Iran nicht der Fall ist).</w:t>
      </w:r>
    </w:p>
    <w:p>
      <w:r>
        <w:rPr>
          <w:b/>
        </w:rPr>
        <w:t>E. 4.2</w:t>
      </w:r>
    </w:p>
    <w:p>
      <w:r>
        <w:t>In der Rechtsmitteleingabe wird ausgeführt, die Vorinstanz habe sich bei der Beurteilung der Gefährdung des Beschwerdeführers auf die Praxis des Bundesverwaltungsgerichts aus dem Jahr 2009 gestützt und sei kaum auf die sich stetig verschlechternde Menschenrechtslage im Iran eingegangen, sondern habe sich unter Verweis auf das Urteil des Bundesverwaltungsgerichts E-2862/2011 vom 14. November 2012 mit der Feststellung begnügt, dass im Iran keine Situation allgemeiner Gewalt bestehe, die sich über das ganze Staatsgebiet oder weite Teile desselben erstrecken würde. Angesichts der im (dritten) Asylgesuch vom 10. Juni 2010 beschriebenen veränderten Menschenrechtslage im Iran wäre im Sinne der Praxis gemäss BVGE 2009/53 E. 6 bereits aufgrund des länderspezifischen und personenbezogenen Kontexts in casu eine genauere Prüfung des Gesuchs im Rahmen eines materiellen Verfahrens erforderlich gewesen. Die besagte neue Entwicklung habe auch im Urteil des Europäischen Gerichtshofs für Menschenrechte (EGMR) S.F. und andere gegen Schweden vom 15. Mai 2012, 52077/10, Eingang gefunden. Darin sei namentlich festgehalten worden, dass auch Personen, die nicht über ein ausgeprägtes politisches Profil verfügten, Verfolgung zu befürchten hätten. Ebenso zeichne der Jahresbericht 2013 von Amnesty International ein düsteres Bild bezüglich der Situation von Regimekritikern. Selbst im Urteil des Bundesverwaltungsgerichts E-2862/2011 vom 14. November 2012 sei unter E. 5.3 ausgeführt worden, dass seit den Unruhen im Anschluss an die Präsidentschaftswahlen im Jahr 2009 die Überwachung eher zugenommen zu haben scheine, wobei es den iranischen Behörden mittels Einsatzes moderner Software technisch auch möglich sein dürfte, die im Internet vorhandenen grossen Datenmengen ohne allzu grossen Aufwand in einem gewissen Ausmass zu überwachen; keine Rolle spiele dabei die Quantität der exilpolitischen Aktivitäten, entscheidend sei vielmehr deren Qualität. Dem Asylgesuch vom 10. Juni 2010 und den späteren Eingaben des Beschwerdeführers sei zu entnehmen, dass dieser in der Schweiz regelmässig an Demonstrationen gegen das iranische Regime teilgenommen habe, darüber hinaus Gründungsmitglied der DVF sei und seit dem (...) 2011 in der Funktion als Verantwortlicher für B._______ tätig sei, was monatlich in der französisch- sowie persischsprachigen Ausgabe der DVF-Zeitschrift, unter Angabe des Namens und der Telefonnummer, erwähnt werde. Sodann habe er seit seiner letzten Eingabe an das BFM an (...) weiteren Kundgebungen der DVF teilgenommen und sei bei (...) weiteren Sendungen des von (...) der DVF organisierten Radioprogramms (...) als Regimekritiker hervorgetreten. Schliesslich dränge sich eine materielle Prüfung der Vorbringen aufgrund des länderspezifischen und personenbezogen Kontexts auch im Einklang mit der jüngsten Praxis gemäss dem Urteil D-3896/2012 des Bundesverwaltungsgerichts vom 15. November 2012 auf, namentlich vor allem deshalb, weil gemäss BVGE 2008/57 E. 3.2 ein gegenüber der Glaubhaftmachung reduzierter Beweismassstab anzusetzen sei. Nach dem Gesagten lägen klare Hinweise vor, welche auf ein Verfolgungsrisiko des Beschwerdeführers hindeuteten (...).</w:t>
      </w:r>
    </w:p>
    <w:p>
      <w:r>
        <w:rPr>
          <w:b/>
        </w:rPr>
        <w:t>E. 4.3</w:t>
      </w:r>
    </w:p>
    <w:p>
      <w:r>
        <w:t>Die Ausführungen in der Beschwerde erweisen sich nach einer Überprüfung der Akten weitgehend als zutreffend. Namentlich wurde - im Rahmen des länder- und personenspezifischen Kontexts - seitens der Vorinstanz folgenden drei Punkten offensichtlich nicht genügend Rechnung getragen: Erstens dem Umstand, dass der Beschwerdeführer seit dem rechtskräftigen Abschluss seines letzten Asylverfahrens seine exilpolitischen Aktivitäten nicht nur in quantitativer, sondern auch in qualitativer Hinsicht gesteigert hat; zweitens dem Faktum, dass sich die Sicherheitslage für iranische Regimekritiker vor dem Hintergrund der Wahlen im Jahr 2009 massiv verschlechtert hat, und drittens der Tatsache, dass der iranische Staat die Überwachung von Dissidenten unter Einsatz modernster Technologie auch im Ausland notorisch intensiviert hat. Unter diesen Umständen kann - bei dem vorliegend zur Anwendung gelangenden, gegenüber der Glaubhaftmachung reduzierten Beweismassstab, und im Lichte der diesbezüglichen jüngeren Praxis des Bundesverwaltungsgerichts besehen - das Vorliegen von nicht zum Vornherein als haltlos zu qualifizierenden Hinweisen auf zwischenzeitlich eingetretene Ereignisse, welche geeignet sind, die Flüchtlingseigenschaft zu begründen, klarerweise nicht verneint werden; dies ungeachtet der Frage, ob die besagten Hinweise einer genaueren Prüfung standzuhalten vermögen. Deshalb fällt die Möglichkeit, in Anwendung von aArt. 32 Abs. 2 Bst. e AsylG einen Nichteintretensentscheid zu treffen, ausser Betracht.</w:t>
      </w:r>
    </w:p>
    <w:p>
      <w:r>
        <w:rPr>
          <w:b/>
        </w:rPr>
        <w:t>E. 5</w:t>
      </w:r>
    </w:p>
    <w:p>
      <w:r>
        <w:t>Zusammenfassend ergibt sich, dass die Vorinstanz wegen Vorliegens von Hinweisen auf Verfolgung zu Unrecht auf das erneute Asylgesuch des Beschwerdeführers vom 10. Juni 2010 in Anwendung von aArt. 32 Abs. 2 Bst. e AsylG nicht eingetreten ist. Damit hat das BFM Bundesrecht verletzt (Art. 106 aAbs. 1 AsylG). Die Beschwerde ist somit gutzuheissen, die angefochtene Verfügung vom 12. August 2013 in Bezug auf die Dispositivziffern 1 (Nichteintreten auf das Asylgesuch) und 2 (Anordnung der Wegweisung als Regelfolge des Nichteintretens; vgl. Art. 44 aAbs. 1 AsylG) aufzuheben und die Sache im Sinne der Erwägungen zur Neubeurteilung an die Vorinstanz zurückzuweisen. Der Vollständigkeit halber ist anzuführen ist, dass sich an der vorläufigen Aufnahme des Beschwerdeführers (Dispositivziffern 3-6 der angefochtenen Verfügung) durch die Gutheissung der Beschwerde nichts ändert.</w:t>
      </w:r>
    </w:p>
    <w:p>
      <w:r>
        <w:rPr>
          <w:b/>
        </w:rPr>
        <w:t>E. 6</w:t>
      </w:r>
    </w:p>
    <w:p>
      <w:r>
        <w:t>Bei diesem Ausgang des Verfahrens sind keine Kosten zu erheben (Art. 63 Abs. 1 und 2 VwVG), weshalb sich das noch nicht behandelte Gesuch um Gewährung der unentgeltlichen Prozessführung im Sinne von Art. 65 Abs. 1 VwVG als gegenstandslos erweist.</w:t>
      </w:r>
    </w:p>
    <w:p>
      <w:r>
        <w:rPr>
          <w:b/>
        </w:rPr>
        <w:t>E. 7</w:t>
      </w:r>
    </w:p>
    <w:p>
      <w:r>
        <w:t>Dem bis zum 14. März 2014 rechtlich verbeiständeten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dem Beschwerdeführer zulasten der Vorinstanz eine Parteientschädigung von insgesamt Fr. 900.- (inkl. Auslagen und allfällige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