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D-4689/2007 vom 8. August 2011</w:t>
      </w:r>
    </w:p>
    <w:p>
      <w:r>
        <w:t>Bundesverwaltungsgericht, 2011-08-08, DE</w:t>
      </w:r>
    </w:p>
    <w:p>
      <w:r>
        <w:rPr>
          <w:b/>
        </w:rPr>
        <w:t xml:space="preserve">Quelle: </w:t>
      </w:r>
      <w:r>
        <w:t>https://mcp.opencaselaw.ch/entscheid/bvger_D-4689_2007</w:t>
      </w:r>
    </w:p>
    <w:p>
      <w:r>
        <w:t>FR: TAF D-4689/2007 du 8 août 2011</w:t>
      </w:r>
    </w:p>
    <w:p>
      <w:r>
        <w:t>IT: TAF D-4689/2007 del 8 agosto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105 AsylG i.V.m. Art. 37 VGG und Art. 50 und Art. 52 Abs. 1 VwVG)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gegen die Ziffern 3, 4 und 5 des Dispositivs der Verfügung des Bundesamtes vom 15. Juni 2007. Die Zif­fern 1 (Nichtzuerkennung der Flüchtlingseigenschaft) und 2 (Verweige­rung des Asyls) des Dispositivs der vorinstanzlichen Verfügung sind man­gels Anfechtung in Rechtskraft erwachsen. Die Wegweisung ist im Übri­gen Regelfolge eines abgewiesenen Asylgesuchs (vgl. Art. 44 Abs. 1 AsylG) und als solche - da der Beschwerdeführer weder über eine ausländerrechtliche Aufenthaltsbewilligung noch über einen Anspruch auf Erteilung einer solchen verfügt - zu Recht angeordnet worden (vgl. Ent­scheidungen und Mitteilungen der Schweizerischen Asylrekurskommis­sion [EMARK] 2001 Nr. 21).</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 EMARK 2006 Nr. 6 E. 4.2 S. 54 f.).</w:t>
      </w:r>
    </w:p>
    <w:p>
      <w:r>
        <w:rPr>
          <w:b/>
        </w:rPr>
        <w:t>E. 4.2</w:t>
      </w:r>
    </w:p>
    <w:p>
      <w:r>
        <w:t>Weil sich vorliegend der Vollzug der Wegweisung - aus den nachfol­gend aufgeführten Gründen - als unzumutbar erweist, ist dementspre­chend auf eine Erörterung der beiden anderen Kriterien zu verzichten.</w:t>
      </w:r>
    </w:p>
    <w:p>
      <w:r>
        <w:rPr>
          <w:b/>
        </w:rPr>
        <w:t>E. 5.1</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In Bezug auf die allgemeine Lage in Afghanistan ist auf die vom Bun­desverwaltungsgericht vorgenommene Einschätzung der Lage im zur Publikation vorgesehenen Urteil E-7625/2008 vom 16. Juni 2011 verwie­sen werden. Das Gericht stellt darin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(vgl. a.a.O. E. 9.9.1 f.). Die Frage, ob hinsichtlich der Städte Mazar-i-Sharif und Herat in Bezug auf die Zumutbarkeit des Wegweisungsvollzugs Ähnliches gesagt werden könne wie zu Kabul, wurde im erwähnten Grundsatzurteil offen gelassen, weil von vornherein ungenügende Anknüpfungspunkte bestanden (vgl. a.a.O. E. 9.9.3).</w:t>
      </w:r>
    </w:p>
    <w:p>
      <w:r>
        <w:rPr>
          <w:b/>
        </w:rPr>
        <w:t>E. 5.3</w:t>
      </w:r>
    </w:p>
    <w:p>
      <w:r>
        <w:t>Der Beschwerdeführer stammt unbestrittenermassen aus Afghanis­tan. Aufgrund der vom Beschwerdeführer im Rahmen des vorinstanzli­chen Verfahrens eingereichten afghanischen Identitätskarte, die das BFM nie als Fälschung eingestuft hat, scheinen er beziehungsweise seine Familie ursprünglich aus dem Distrikt H._______ in der Provinz Ghazni zu stammen. Zwar trifft es zu, dass die Angaben des Beschwerdeführers hin­sichtlich einzelner Familienangehöriger Unstimmigkeiten enthalten: So gab er einerseits an, eine Tante mütterlicherseits lebe in H._______ (vgl. act. A1/9 S. 3 Ziff. 12), wogegen er bei der kantonalen Anhörung ver­neinte, dass seine Mutter Schwestern gehabt habe (vgl. act. A13/24 S. 5). Nicht plausibel ist sodann auch seine Aussage, wonach ein im Iran leben­der Onkel I._______ (vgl. act. A1/9 S. 3 Ziff. 12) beziehungsweise J._______ (vgl. act. A13/24 S. 5) heisse. Die entsprechenden Unklarheiten fallen vorliegend indessen nicht ins Gewicht, da der fragli­che Onkel des Beschwerdeführers nach dessen übereinstimmenden Angaben im Iran lebt (vgl. act. A1/9 S. 3 Ziff. 12 unten und act. A13/24 S. 5), wohin der Beschwerdeführer - wie auch die Vorinstanz implizit anzuneh­men scheint - nicht mehr zurückkehren kann. Alsdann ist selbst für den Fall, dass eine Tante des Beschwerdeführers heute noch in Afghanistan leben sollte, nicht anzunehmen, diese sei als einzelne - zumal weibliche - Person in der Lage, dem Beschwerdeführer die wirtschaftliche und soziale Wiedereingliederung im Heimatland entscheidend zu unterstützen. Demgegenüber hat der Beschwerdeführer hinsichtlich des Zeitpunkts sowie der Todesumstände seiner Eltern in Afghanistan konzise Angaben gemacht (vgl. act. A1/9 S. 3 Ziff. 12), weshalb davon auszugehen ist, dass seine Eltern heute tatsächlich nicht mehr leben. Unbestritten ist im Weiteren die Aussage des Beschwerdeführers geblieben, wonach er Afghanistan bereits im Jahre 1998 - also im Alter von etwa zehn Jahren - verlassen und anschliessend während sechs oder sieben Jahren im Iran gelebt habe. Dass er dabei - mit der Tatsache konfrontiert, im Februar 2005 in Belgien ein Asylgesuch eingereicht zu haben - einräumte, bereits im Mai 2004 und nicht erst im Mai oder Juni 2005 nach Europa gelangt zu sein, vermag nichts daran zu ändern, dass der Beschwerdeführer Afghanistan aufgrund der Aktenlage bereits vor etlichen Jahren endgültig verlassen zu hat und demnach in Afghanistan selbst zufolge seines damaligen Kindesalters nicht nachhaltig sozialisiert worden ist. Dass der Beschwerdeführer überdies in Afghanistan nebst der erwähnten Tante über weitere Verwandte verfügt, lässt sich aufgrund der Akten ebenfalls nicht annehmen.</w:t>
      </w:r>
    </w:p>
    <w:p>
      <w:r>
        <w:rPr>
          <w:b/>
        </w:rPr>
        <w:t>E. 5.4</w:t>
      </w:r>
    </w:p>
    <w:p>
      <w:r>
        <w:t>Der Vollzug der Wegweisung des Beschwerdeführers nach Afghanis­tan erweist sich nach dem Gesagten als unzumutbar im Sinne von Art. 83 Abs. 4 AuG. Nachdem sich aus den Akten keine Ausschlussgründe im Sinne von Art. 83 Abs. 7 AuG ergeben, sind die Voraussetzungen für die Anordnung der vorläufigen Aufnahme somit erfüllt.</w:t>
      </w:r>
    </w:p>
    <w:p>
      <w:r>
        <w:rPr>
          <w:b/>
        </w:rPr>
        <w:t>E. 6</w:t>
      </w:r>
    </w:p>
    <w:p>
      <w:r>
        <w:t>Die Beschwerde ist folgerichtig gutzuheissen, soweit sie sich gegen den angeordneten Vollzug der Wegweisung richtet. Die Ziffern 4 und 5 des Dispositivs der vorinstanzlichen Verfügung vom 15. Juni 2007 sind dem­nach aufzuheben und das BFM ist anzuweisen, den Beschwerdeführer wegen gegenwärtiger Unzumutbarkeit des Wegweisungsvollzugs vorläu­fig aufzunehmen.</w:t>
      </w:r>
    </w:p>
    <w:p>
      <w:r>
        <w:rPr>
          <w:b/>
        </w:rPr>
        <w:t>E. 7.1</w:t>
      </w:r>
    </w:p>
    <w:p>
      <w:r>
        <w:t>Bei diesem Ausgang des Verfahrens sind dem Beschwerdeführer keine Verfahrenskosten aufzuerlegen (Art. 63 Abs. 1 und 2 VwVG).</w:t>
      </w:r>
    </w:p>
    <w:p>
      <w:r>
        <w:rPr>
          <w:b/>
        </w:rPr>
        <w:t>E. 7.2</w:t>
      </w:r>
    </w:p>
    <w:p>
      <w:r>
        <w:t>Gemäss Art. 64 Abs. 1 VwVG kann die Beschwerdeinstanz der obsiegenden Partei eine Parteientschädigung für die notwendigen und verhältnismässig hohen Kosten zusprechen. Angesichts des vollumfängli­chen Obsiegens ist dem vertretenen Beschwerdeführer eine Parteientschädigung zuzusprechen (Art. 7 Abs. 2 des Reglements vom 21. Februar 2008 über die Kosten und Entschädigungen vor dem Bundesverwaltungsgericht (VGKE, SR 173.320.2). Die Rechtsvertreterin des Beschwerdeführers hat am 4. August 2011 eine Kostennote im Betrage von Fr. 1'269.30 (inklusive Auslagen und 8% Mehrtwertsteuer) ein­gereicht. Da sie das Mandat erst im Verlaufe des hängigen Beschwerde­verfahrens am 20. August 2007 übernommen und einzig die vom 30. August 2007 datierende Replik verfasst und eingereicht hat, erweisen sich die in der Kostennote ausgewiesenen Aufwendungen als überhöht. Unter Berücksichtigung der massgebenden Berechnungsfaktoren (Art. 9-11 und 13 VGKE) sind die als notwendig zu erachtenden Kosten für die Parteivertretung auf Fr. 550.- (inklusive Auslagen und Mehrwertsteuer) zu veranschlagen.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