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D-4687/2011 vom 26. Oktober 2012</w:t>
      </w:r>
    </w:p>
    <w:p>
      <w:r>
        <w:t>Bundesverwaltungsgericht, 2012-10-26, DE</w:t>
      </w:r>
    </w:p>
    <w:p>
      <w:r>
        <w:rPr>
          <w:b/>
        </w:rPr>
        <w:t xml:space="preserve">Quelle: </w:t>
      </w:r>
      <w:r>
        <w:t>https://mcp.opencaselaw.ch/entscheid/bvger_D-4687_2011</w:t>
      </w:r>
    </w:p>
    <w:p>
      <w:r>
        <w:t>FR: TAF D-4687/2011 du 26 octobre 2012</w:t>
      </w:r>
    </w:p>
    <w:p>
      <w:r>
        <w:t>IT: TAF D-4687/2011 del 26 ottobre 2012</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 1.4 - einzutreten.</w:t>
      </w:r>
    </w:p>
    <w:p>
      <w:r>
        <w:rPr>
          <w:b/>
        </w:rPr>
        <w:t>E. 1.4</w:t>
      </w:r>
    </w:p>
    <w:p>
      <w:r>
        <w:t>Der Beschwerde kommt von Gesetzes wegen aufschiebende Wirkung zu (Art. 55 Abs. 1 VwVG). Zudem hat das BFM in der angefochtenen Verfügung einer allfälligen Beschwerde die aufschiebende Wirkung nicht entzogen (vgl. Art. 55 Abs. 2 VwVG). Demzufolge ist auf das Begehren um Zuerkennung der aufschiebenden Wirkung der Beschwerde mangels Rechtsschutzinteresse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Vorab ist - gemäss den entsprechenden Rügen des Beschwerdeführers - zu prüfen, ob das BFM den rechtserheblichen Sachverhalt nicht rich­tig festgestellt und dessen Anspruch auf rechtliches Gehör verletzt hat, indem es ihn nicht zu seinen Widersprüchen bezüglich des Aufenthaltsortes seiner beiden Töchter angefragt hat.</w:t>
      </w:r>
    </w:p>
    <w:p>
      <w:r>
        <w:rPr>
          <w:b/>
        </w:rPr>
        <w:t>E. 3.2</w:t>
      </w:r>
    </w:p>
    <w:p>
      <w:r>
        <w:t>Entsprechend einem Entscheid der vormaligen Schweizerischen Asylrekurskommission [ARK] sind Asylsuchende mit Widersprüchen in ihren eigenen Aussagen möglichst zu konfrontieren. Dieser Grundsatz ergibt sich aus der Pflicht zur vollständigen und richtigen Sachverhaltsabklä­rung, stellt je­doch keinen eigentlichen verfahrensrechtlichen Anspruch im Sinne des recht­­lichen Gehörs dar (Entscheidungen und Mitteilungen der ARK [EMARK] 1994 Nr. 13). Demzufolge wurde vorliegend der Anspruch des Beschwerdeführers auf rechtliches Gehör nicht verletzt.</w:t>
      </w:r>
    </w:p>
    <w:p>
      <w:r>
        <w:rPr>
          <w:b/>
        </w:rPr>
        <w:t>E. 3.3</w:t>
      </w:r>
    </w:p>
    <w:p>
      <w:r>
        <w:t>Bezüglich der richtigen Sachverhaltsabklärung ist festzuhalten, dass das BFM den Beschwerdeführer tatsächlich nicht mit den genann­ten Widersprüchen konfrontiert hat. Der Beschwerdeführer konnte aber im Rah­men des vorliegenden Beschwerdeverfahrens zu seinen Widersprüchen Stel­lung nehmen und den seiner Ansicht nach richtigen Sachverhalt darlegen, was er auch getan hat. Zudem ist die Frage, bei wem seine Töchter gelebt haben beziehungsweise ob seine Ehefrau für sie eine Ersatzmutter geworden ist, für die Beurteilung des vorliegenden Familienzusammenführungsgesuchs - wie nachfolgend aufzuzeigen sein wird (vgl. E. 4.2) - ohnehin irrelevant. Die Rügen erweisen sich nach dem Gesagten als unbegründet.</w:t>
      </w:r>
    </w:p>
    <w:p>
      <w:r>
        <w:rPr>
          <w:b/>
        </w:rPr>
        <w:t>E. 4.1.1</w:t>
      </w:r>
    </w:p>
    <w:p>
      <w:r>
        <w:t>Nach Art. 51 Abs. 1 AsylG werden - unter dem Titel Familienasyl - namentlich die Ehegatten und die minderjährigen Kinder von Flüchtlingen ihrerseits als Flüchtlinge anerkannt und erhalten in der Schweiz Asyl,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 S. 68).</w:t>
      </w:r>
    </w:p>
    <w:p>
      <w:r>
        <w:rPr>
          <w:b/>
        </w:rPr>
        <w:t>E. 4.1.2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alleine die Wiedervereinigung von vorbestandenen Familiengemeinschaften (vgl. EMARK 2006 Nr. 8).</w:t>
      </w:r>
    </w:p>
    <w:p>
      <w:r>
        <w:rPr>
          <w:b/>
        </w:rPr>
        <w:t>E. 4.2</w:t>
      </w:r>
    </w:p>
    <w:p>
      <w:r>
        <w:t>Nach Prüfung der Akten durch das Gericht ist - in Übereinstimmung mit der Vorinstanz - festzustellen, dass vorliegend die Grundvoraussetzung von Art. 51 Abs. 4 AsylG der durch die Flucht getrennten Familiengemeinschaft nicht erfüllt ist, da der Beschwerdeführer mit seiner jetzigen Ehefrau unbestrittenermassen nie in einer Familiengemeinschaft gelebt hat. Seine Ehefrau kann entgegen der Ansicht des Beschwerdeführers nicht anstelle seiner verstorbenen Ehefrau von dieser Bestimmung profitieren, da - wie bereits ausgeführt - alleine die Wiedervereinigung von vorbestandenen Familiengemeinschaften Zweck von Art. 51 Abs. 4 AsylG ist. Auch aus ihrer Beziehung zu dessen Töchter und im Hinblick auf Art. 8 EMRK kann seine Ehefrau nichts zu ihren Gunsten ableiten, zumal für die behauptete Beziehung beziehungsweise Familienge­meinschaft keine Beweise vorliegen. Art. 8 EMRK kann zudem nicht ergänzend angewendet werden, wenn die Voraussetzungen des Familienasyls im Sinne von Art. 51 Abs. 1 und 2 AsylG nicht erfüllt sind. Die Frage eines allfälligen Anspruchs auf Familiennachzug im Zusammenhang mit Art. 8 EMRK wäre vom Beschwerdeführer bei den dafür zuständigen ausländerrechtlichen Behörden geltend zu machen und von diesen zu prüfen (vgl. EMARK 2002 Nr. 6 und EMARK 2006 Nr. 8 E. 3.2). Sofern zwischen den Töchtern und der Ehefrau des Beschwerdeführers tatsächlich eine Familiengemeinschaft besteht, ist das Vorbringen des Beschwerdeführers, seine Töchter würden die Umsiedlung in die Schweiz ohne ihre Ersatzmutter nur schwer verkraften, nachvollziehbar. Indes vermag auch dieser Aspekt das Nichterfüllen der Grundvoraussetzung einer durch die Flucht getrennte Familiengemeinschaft nicht aufzuwiegen. Im Übrigen enthalten auch die Eingaben des Beschwerdeführers vom 9. Februar 2012 und 17. April 2012 keine im Hinblick auf Art. 51 Abs. 4 AsylG relevanten Vorbringen.</w:t>
      </w:r>
    </w:p>
    <w:p>
      <w:r>
        <w:rPr>
          <w:b/>
        </w:rPr>
        <w:t>E. 4.3</w:t>
      </w:r>
    </w:p>
    <w:p>
      <w:r>
        <w:t>Nach dem Gesagten ergibt sich, dass das BFM das Gesuch um Familienzusammenführung im Sinne von Art. 51 Abs. 1 und 4 AsylG zu Recht abgelehnt und der im Ausland wohnhaften Ehefrau des Beschwerdeführers die Einreise in die Schweiz verweigert hat. Nach dem Gesagten erübrigt es sich, auf die eingereichte Ehebescheinigung und insbesondere deren Beweiswert einzugehen. Die angefochtene Verfügung verletzt Bundesrecht nicht, stellt den Sachverhalt richtig und vollständig fest und ist angemessen (Art. 106 AsylG). Die vorinstanzliche Verfügung ist zu bestätigen und die Beschwerde abzuweisen, soweit auf diese einzutreten ist.</w:t>
      </w:r>
    </w:p>
    <w:p>
      <w:r>
        <w:rPr>
          <w:b/>
        </w:rPr>
        <w:t>E. 5.1</w:t>
      </w:r>
    </w:p>
    <w:p>
      <w:r>
        <w:t>Bei diesem Ausgang des Verfahrens wären die Kosten dem Beschwerdeführer aufzuerlegen (Art. 63 Abs. 1 VwVG). Dieser ersuchte jedoch um Gewährung der unentgeltlichen Rechtspflege im Sinne von Art. 65 Abs. 1 VwVG. Danach kann die Beschwerdeinstanz eine bedürftige Partei, deren Begehren nicht aussichtslos erscheinen, auf Gesuch davon befreien, Verfahrenskosten zu bezahlen.</w:t>
      </w:r>
    </w:p>
    <w:p>
      <w:r>
        <w:rPr>
          <w:b/>
        </w:rPr>
        <w:t>E. 5.2</w:t>
      </w:r>
    </w:p>
    <w:p>
      <w:r>
        <w:t>Vorliegend ist von der Bedürftigkeit des Beschwerdeführers auszugehen. Auch können die Beschwerdebegehren nicht als aussichtslos be­­zeich­net werden. Das Gesuch um Gewährung der unentgeltlichen Rechts­pflege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