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D-4680/2013 vom 11. März 2014</w:t>
      </w:r>
    </w:p>
    <w:p>
      <w:r>
        <w:t>Bundesverwaltungsgericht, 2014-03-11, DE</w:t>
      </w:r>
    </w:p>
    <w:p>
      <w:r>
        <w:rPr>
          <w:b/>
        </w:rPr>
        <w:t xml:space="preserve">Quelle: </w:t>
      </w:r>
      <w:r>
        <w:t>https://mcp.opencaselaw.ch/entscheid/bvger_D-4680_2013</w:t>
      </w:r>
    </w:p>
    <w:p>
      <w:r>
        <w:t>FR: TAF D-4680/2013 du 11 mars 2014</w:t>
      </w:r>
    </w:p>
    <w:p>
      <w:r>
        <w:t>IT: TAF D-4680/2013 del 11 marzo 2014</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BGG).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nachträg­lich erfahrener erheblicher Tatsachen (Art. 123 Abs 2 Bst. a BGG) geltend, indem er seiner Eingabe insbesondere mehrere, vor dem Beschwerdeentscheid da­tierende Beweismittel beilegt. Von der Rechtzeitigkeit des Revisionsbe­gehrens vom 15. August 2013 gegen den angefochtenen Beschwerdeent­scheid ist auszugehen. Auf das im Übrigen formgerecht eingereichte 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4.1</w:t>
      </w:r>
    </w:p>
    <w:p>
      <w:r>
        <w:t>Im Sinne von Art. 123 Abs. 2 Bst. a BGG wird vorgebracht, der Gesuchsteller habe sich in der Schweiz exilpolitisch betätigt, sei sich der Bedeutung seines Engagements jedoch nicht bewusst gewesen, weshalb er dies nicht früher geltend gemacht habe.</w:t>
      </w:r>
    </w:p>
    <w:p>
      <w:r>
        <w:rPr>
          <w:b/>
        </w:rPr>
        <w:t>E. 4.2</w:t>
      </w:r>
    </w:p>
    <w:p>
      <w:r>
        <w:t>Die diesbezüglichen Beweismittel stammen - mit Ausnahme des Zeitungsartikels vom 20. Juli 2013 und sämtlicher mit Eingaben vom 4. September 2013 und 26. September 2013 und 30. September 2013 beigebrachten Beweismittel - aus dem Zeitraum vor Er­lass der Beschwerdeurteils vom 30. April 2013 und wären damit grund­sätzlich revisionsrechtlich relevant. Hingegen müssen diese offensicht­lich als verspätet eingereicht qualifiziert werden. Der Ge­suchstel­ler vermag nicht darzulegen, weshalb es ihm nicht zumutbar und möglich gewesen sei, besagte Belege bereits im Rahmen des ordentli­chen Verfah­rens zu beschaffen. Sein exilpolitisches Engagement hat ge­mäss den nunmehr eingereichten Beweismittel bereits seit (...) 2011 bestanden, weshalb er im Rahmen seiner Sorg­falts- und Mitwirkungspflicht verpflichtet gewesen wäre, dies offenzulegen. Dass er erst nach Abschluss des ordentlichen Verfahrens auf die entsprechende Idee kam und ihm die Relevanz vorher nicht bewusst gewesen sei, kann jedenfalls nicht als ent­schuldbares Unterlassen angesehen werden. Dies hat umso mehr zu gelten, als dass der Gesuchsteller bereits im ordentlichen Beschwerdeverfahren durch eine im Bereich des Asylrechts erfahrene Rechtsberatungsstelle vertreten war. Das Revisi­onsverfahren kann nicht dazu dienen, im früheren Verfahren began­gene vermeidbare Unterlassungen eines Gesuchstellers nachzuholen.</w:t>
      </w:r>
    </w:p>
    <w:p>
      <w:r>
        <w:rPr>
          <w:b/>
        </w:rPr>
        <w:t>E. 5.1</w:t>
      </w:r>
    </w:p>
    <w:p>
      <w:r>
        <w:t>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Entscheidungen und Mitteilungen der Schweizerischen Asylrekurskommission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(vgl. BVGE 2013/22 E. 5.4) - ausserdem fest, dass ein Abweichen von der Verwirkungsfolge im Sinne von Art. 125 BGG (bzw. Art. 66 Abs. 3 VwVG) nur in sehr engen Grenzen zulässig ist (EMARK 1995 Nr. 9 E. 7g; vgl. dazu auch August Mächler, in: Auer/Müller/Schindler [Hrsg.], Kommentar zum VwVG, Zü­rich/St. Gallen 2008, Art. 66, N 26).</w:t>
      </w:r>
    </w:p>
    <w:p>
      <w:r>
        <w:rPr>
          <w:b/>
        </w:rPr>
        <w:t>E. 5.2</w:t>
      </w:r>
    </w:p>
    <w:p>
      <w:r>
        <w:t>So ist auch auf der Grundlage einer völkerrechtskonformen Ausle­gung von Art. 125 BGG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Entgegen den Ausführungen in den Revisionseingaben sind vorlie­gend insgesamt keine solch klaren Anhaltspunkte für völkerrechtli­che Vollzugshindernisse zu erkennen. Die vom Gesuchsteller eingereichten Beweismittel, welche im vorliegenden Verfahren Beachtung finden, sind nicht geeignet eine beachtliche Wahrscheinlichkeit einer aktuel­len, ernsthaften Gefahr schlüssig glaubhaft zu machen, wird doch lediglich belegt, dass er am (...) 2011 an einer Demonstration in H.______ teilgenommen hat. Die anderen Beweismittel sind nicht geeignet, die geltend gemachte Teilnahme des Gesuchstellers an den Veranstaltungen überhaupt zu belegen, da entweder keine Fotos beigebracht wurden oder der Gesuchsteller auf den Fotos nicht zu erkennen ist. Selbst wenn er an einigen regierungskritischen Kundgebungen teilgenommen haben sollte, ist, gestützt auf die hier beachtlichen Beweismittel, entsprechend nicht von einem politischen Profil auszugehen, welches eine Gefährdung mit beachtlicher Wahrscheinlichkeit nachzuweisen vermöchte.</w:t>
      </w:r>
    </w:p>
    <w:p>
      <w:r>
        <w:rPr>
          <w:b/>
        </w:rPr>
        <w:t>E. 5.4</w:t>
      </w:r>
    </w:p>
    <w:p>
      <w:r>
        <w:t>Zwar ist die Vorinstanz in Verfahren, die Staatsangehörige Sri Lankas tamilischer Ethnie betreffen, mittlerweile systematisch dazu übergegangen, keine Ausreisefristen mehr anzusetzen und bereits angeordnete aufzuheben. Faktisch zieht sie damit sämtliche Verfahren (auch solche im Vollzugsstadium) in Wiedererwägung, und zwar unbesehen der konkreten Umstände im Einzelfall. Das vorinstanzliche Vorgehen geht insbesondere auf zwei bekannt gewordene Vorfälle zurück. Diese werden auch in der Eingabe des Gesuchstellers vom 4. September 2013 erwähnt und ereigneten sich im Sommer 2013. Die sri-lankischen Behörden hatten offenbar tamilische Rückkehrer bei der Wiedereinreise in Haft genommen. Daraufhin hat das BFM in Aussicht gestellt, nicht nur die beiden Vorfälle, sondern auch eine allfällige Veränderung der allgemeinen Situation in Sri Lanka vertieft abzuklären. Daraus geht hervor, dass primär nachträgliche Ereignisse zu der geschilderten Vorgehensweise der schweizerischen Asylbehörden geführt haben.</w:t>
      </w:r>
    </w:p>
    <w:p>
      <w:r>
        <w:rPr>
          <w:b/>
        </w:rPr>
        <w:t>E. 5.5</w:t>
      </w:r>
    </w:p>
    <w:p>
      <w:r>
        <w:t>Zusammenfassend ist festzuhalten, dass der Gesuchsteller das Vorlie­gen von völkerrechtlichen Wegweisungsvollzugshindernissen bereits im Zeitpunkt des Erlasses der vorinstanzlichen Verfügung beziehungsweise des Urteils des Bundesverwaltungsgerichts nicht glaubhaft zu machen vermochte und demzufolge nicht von einer überwie­genden Gefahr einer drohenden Verletzung von Art. 33 Abs. 1 FK, Art. 3 EMRK oder Art. 3 FoK auszugehen war.</w:t>
      </w:r>
    </w:p>
    <w:p>
      <w:r>
        <w:rPr>
          <w:b/>
        </w:rPr>
        <w:t>E. 6</w:t>
      </w:r>
    </w:p>
    <w:p>
      <w:r>
        <w:t>Insgesamt konnten damit keine revisionsrechtlich relevanten Gründe vorge­bracht wer­den und ein Eingehen auf weitere Argumente in den Einga­ben erübrigt sich. Die Eingaben vom 15. August 2013 und 4. September 2013 sind demzufolge als Revisionsgesuch abzuweisen.</w:t>
      </w:r>
    </w:p>
    <w:p>
      <w:r>
        <w:rPr>
          <w:b/>
        </w:rPr>
        <w:t>E. 7</w:t>
      </w:r>
    </w:p>
    <w:p>
      <w:r>
        <w:t>Bezüglich der übrigen Beweismittel gilt festzuhalten, dass diese, nach dem klaren Wortlaut von Art. 123 Abs. 2 Bst. a [in fine] BGG und in Anbetracht des diesbezüglich am 5. Juni 2013 im Verfahren E-3913/2009 ergangenen Grundsatzurteils des Bundesverwaltungsgerichts (BVGE 2013/22) als Grundlage für eine Revision ausser Betracht fallen, da sie erst nach dem angefochtenen Entscheid entstanden sind, weshalb darauf nicht einzutreten ist. Diesbezüglich ist allerdings anzumerken, dass der Gesuchsteller in seiner Eingabe vom 4. September 2013 auch auf neue Berichte betreffend Gefährdung von Landsleuten bei der Rückkehr nach Sri Lanka hinweist und entsprechende neu entstandene Beweismittel beilegt. Diese Vorbringen sind nicht unter revisionsrechtlichen Gesichtspunkten zu behandeln, weshalb die Rechtsschriften samt Beweismitteln gestützt auf Art. 8 Abs. 1 VwVG an das BFM zur Prüfung unter dem Aspekt eines zweiten Asylgesuches respektive Wiedererwägungsgesuchs zu überweisen sind.</w:t>
      </w:r>
    </w:p>
    <w:p>
      <w:r>
        <w:rPr>
          <w:b/>
        </w:rPr>
        <w:t>E. 8</w:t>
      </w:r>
    </w:p>
    <w:p>
      <w:r>
        <w:t>Bei diesem Ausgang des Verfahrens wären die Kosten von Fr. 1200.- (Art. 16 Abs. 1 Bst. a VGG i.V.m. Art. 1-3 des Reglements vom 21. Feb­ruar 2008 über die Kosten und Entschädigungen vor dem Bundesverwal­tungsgericht [VGKE, SR 173.320.2] dem Gesuchsteller aufzuerlegen (Art. 37 VGG i.V.m. Art. 63 Abs. 1 und 5 VwVG und Art. 68 Abs. 2 VwVG). Dem Gesuchsteller war jedoch mit Verfügung vom 13. September 2013 die unentgeltliche Prozessführung nach Art. 65 Abs. 1 VwVG gewährt worden, weshalb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