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D-4672/2011 vom 11. Oktober 2011</w:t>
      </w:r>
    </w:p>
    <w:p>
      <w:r>
        <w:t>Bundesverwaltungsgericht, 2011-10-11, DE</w:t>
      </w:r>
    </w:p>
    <w:p>
      <w:r>
        <w:rPr>
          <w:b/>
        </w:rPr>
        <w:t xml:space="preserve">Quelle: </w:t>
      </w:r>
      <w:r>
        <w:t>https://mcp.opencaselaw.ch/entscheid/bvger_D-4672_2011</w:t>
      </w:r>
    </w:p>
    <w:p>
      <w:r>
        <w:t>FR: TAF D-4672/2011 du 11 octobre 2011</w:t>
      </w:r>
    </w:p>
    <w:p>
      <w:r>
        <w:t>IT: TAF D-4672/2011 del 11 ottobre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einer Beschwerde legitimiert. Der genaue Zeitpunkt der Eröffnung der Verfügung des BFM ist zwar weder durch einen Empfangsschein noch durch eine Empfangsbestätigung belegt, doch liegt in einem solchen Fall die Beweislast bei den Behörden (vgl. André Moser/Michael Beusch/Lorenz Kneubühler, Prozessieren vor dem Bundesverwaltungsgericht, Handbücher für die Anwaltspraxis, Band X, Basel 2008, Rz. 3. 150, S. 166 f.) und es wird demnach von der Rechtzeitigkeit der Beschwerdeeinreichung ausgegangen. Auf die formgerecht eingereichte Beschwerde ist somit einzutreten (Art. 105 sowie Art. 108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 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E. 5.2 - E. 5.3). Eine Befragung beziehungsweise eine schriftliche Sachverhaltsabklärung kann sich auch erübrigen, wenn der Sachverhalt bereits aufgrund des eingereichten Asylgesuchs als entscheidreif erstellt scheint. Bei Anhörungsverzicht ist jedoch das rechtliche Gehör zu gewähren (vgl. BVGE 2007/30 E. 5.7), was vorliegend erfolgt ist (vgl. Erwägung D.a vorstehend). Ausserdem hat das BFM den Verzicht auf eine Befragung begründet (vgl. BVGE 2007/30 E. 5.6 - E. 5.7).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5.1</w:t>
      </w:r>
    </w:p>
    <w:p>
      <w:r>
        <w:t>Die Vorbringen in der Rechtsmitteleingabe vom 7. Juni 2011 (Eingangsstempel der Schweizer Vertretung in Colombo vom 30. Juni 2011) sowie in der Beschwerdeergänzung vom 14. September 2011 (Eingangsstempel der Schweizer Vertretung in Colombo vom 27. September 2011) sind nicht geeignet, eine Änderung der vorinstanzlichen Verfügung zu bewirken. Der Argumentation des BFM werden keine stichhaltigen und substanziierten Gründe entgegengesetzt. Eine diesbezügliche Auseinandersetzung unterbleibt zwar nicht gänzlich. Die Ausführungen des Beschwerdeführers vermögen jedoch die nachvollziehbaren Erwägungen des BFM nicht umzustossen. Das BFM hat in der angefochtenen Verfügung zu Recht festgestellt, dass die Ausführungen des Beschwerdeführers teils asylirrelevant sind und teils nicht mit den eingereichten Beilagen übereinstimmen. Auch auf Beschwerdeebene hat der Beschwerdeführer darauf verzichtet, konkrete Angaben zu den von ihm im erstinstanzlichen Verfahren geltend gemachten Behelligungen durch Unbekannte in I._______ und in C._______ zu machen. Sein Vorbringen, er sei am 17. Juli sowie am 18. Juli 2011 erneut von Unbekannte behelligt worden beziehungsweise seine Familie sei am 5. September 2011 wegen ihm von vier unbekannten Männern aufgesucht worden, erscheint angesichts des Umstandes, dass das BFM in der angefochtenen Verfügung ausgeführt hat, er habe keinen erneuten konkreten Übergriff durch Unbekannte geltend gemacht (vgl. vorstehend F.), als nachgeschobenes Sachverhaltskonstrukt. Doch selbst bei Wahrunterstellung der geltend machten Behelligung, kann daraus keine begründete Furcht vor einer asylrelevanten Verfolgung geschlossen werden, zumal der Beschwerdeführer sich deswegen an die Behörden wenden könnte. Bei dieser Sachlage kann, um Wiederholungen zu vermeiden auf die Ausführungen in der angefochtenen Verfügung verwiesen werden. Nach dem Gesagten droht dem Beschwerdeführer keine asylrelevante Verfolgung im Sinne von Art. 3 AsylG.</w:t>
      </w:r>
    </w:p>
    <w:p>
      <w:r>
        <w:rPr>
          <w:b/>
        </w:rPr>
        <w:t>E. 5.2</w:t>
      </w:r>
    </w:p>
    <w:p>
      <w:r>
        <w:t>Aufgrund der vorstehenden Erwägungen erübrigt es sich, auf die weiteren Ausführungen in der Eingabe des Beschwerdeführers sowie die eingereichten Beweismittel im Einzelnen einzugehen, da sie am Ergebnis der vorgenommenen Würdigung nichts zu ändern vermögen. Es ist dem Beschwerdeführer nicht gelungen, eine Verfolgung im Sinne von Art. 3 AsylG nachzuweisen oder zumindest glaubhaft zu machen. Die Schutzbedürftigkeit des Beschwerdeführers im Sinne von Art. 20 i.V.m. Art. 3 AsylG ist mithin als nicht gegeben zu qualifizieren, und es liegen auch keine anderen Gründe vor, welche die Erteilung einer Einreisebewilligung indizieren würden.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grundsätzlich dem Beschwerdeführer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