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D-4670/2011 vom 12. Juli 2012</w:t>
      </w:r>
    </w:p>
    <w:p>
      <w:r>
        <w:t>Bundesverwaltungsgericht, 2012-07-12, DE</w:t>
      </w:r>
    </w:p>
    <w:p>
      <w:r>
        <w:rPr>
          <w:b/>
        </w:rPr>
        <w:t xml:space="preserve">Quelle: </w:t>
      </w:r>
      <w:r>
        <w:t>https://mcp.opencaselaw.ch/entscheid/bvger_D-4670_2011</w:t>
      </w:r>
    </w:p>
    <w:p>
      <w:r>
        <w:t>FR: TAF D-4670/2011 du 12 juillet 2012</w:t>
      </w:r>
    </w:p>
    <w:p>
      <w:r>
        <w:t>IT: TAF D-4670/2011 del 12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w:t>
      </w:r>
    </w:p>
    <w:p>
      <w:r>
        <w:t>Im vorliegenden Fall wurde die Beschwerdeführerin von der Botschaft in Colombo zu ihrem Asylgesuch vom 18. Mai 2009 nicht angehört. Indes wurde sie im Rahmen des rechtlichen Gehörs mittels Schreiben vom 25. Januar 2011 zur weiteren Konkretisierung ihrer Asylgründe auf­gefordert (vgl. Bst. B hiervor). In Verbindung mit den bereits vorgängig enthaltenen Fragestellungen sowie den entsprechenden Antworten der Beschwerdeführerin dazu (vgl. Bst. A Ab­schnitt 3 und 4 hiervor) konnte das BFM letztlich davon ausgehen, dass sämtliche für die Beurteilung des Asylgesuches aus dem Ausland notwendigen Aspekte abgedeckt waren, namentlich die genauen Personalien der asylsuchenden Person, die detaillierten Asylvorbringen, die unternommenen Massnahmen zur Schutzsuche oder die Möglichkeit einer innerstaatlichen Fluchtalternative. Die Beschwerdeführerin beantwortete die ihr gestellten Fragen jeweils ausführlich und unterlegte ihre Angaben aufforderungsgemäss mit ent­sprechenden Beweismitteln. Dabei ist festzustellen, dass sich die Beschwerdeführerin in sämtlichen ihrer Eingaben grundsätzlich auf den gleichen Sachverhalt berief. Bei dieser Sachlage ist festzuhalten, dass im vorliegenden Verfahren dem An­spruch der Beschwerdeführerin auf Gewährung des recht­lichen Ge­hörs Rechnung getragen und der entscheidwesentliche Sach­verhalt in genügender Weise und umfassend abgeklärt wurde.</w:t>
      </w:r>
    </w:p>
    <w:p>
      <w:r>
        <w:rPr>
          <w:b/>
        </w:rPr>
        <w:t>E. 4.3</w:t>
      </w:r>
    </w:p>
    <w:p>
      <w:r>
        <w:t>Die Vorinstanz hat sodann in der angefochtenen Verfügung be­grün­det, weshalb auf eine persönliche Anhörung verzichtet wurde. Da­mit ist sie ihrer diesbezüglichen Begründungspflicht nach­gekommen (vgl. II/Ziff. 1 der angefochtenen Verfügung).</w:t>
      </w:r>
    </w:p>
    <w:p>
      <w:r>
        <w:rPr>
          <w:b/>
        </w:rPr>
        <w:t>E. 5.1</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6</w:t>
      </w:r>
    </w:p>
    <w:p>
      <w:r>
        <w:t>Mit der Vorinstanz ist festzuhalten, dass die Vorbringen der Beschwerdeführerin weder einreise- noch asylrelevant sind. Die von ihr geschilderte, ihren Ehemann betreffende Verfolgungssituation durch unbekannte Dritte fällt, wie die Vorinstanz zutreffend festhielt, nicht unter Art. 3 AsylG. Dass ihr anbegehrter Schutz in diesem Zusammenhang vom Staat zuteil wurde bejahte sie. Die nicht näher ausgeführten Befürchtungen um ihre Sicherheit erweisen sich unter diesem Gesichtspunkt betrachtet als unbegründet. Aus der Eingabe vom 14. Juni 2009 geht ausserdem hervor, dass sie nie Drohungen seitens irgendwelcher Gruppierungen oder Personen ausgesetzt gewesen ist. Individuell konkret und gezielt gegen sie gerichtete nachteilige Massnahmen staatlicher Organe machte die Beschwerdeführerin ebenfalls nicht geltend. Den im Zusammenhang mit ihrem Sachvortrag eingereichten Be­weis­mitteln ist keine wei­te­re Bedeutung beizumessen, da in casu diesen die asylrechtlicher Relevanz abzusprechen ist. Letztlich lassen sich die Ausführungen der Beschwerdeführerin auf die allgemeine in Sri Lanka herrschende Situation und die von ihr als widrig empfundenen Lebensumstände reduzieren, was indes keine individuelle Betroffenheit im Sinne des Asylgesetzes darzutun vermag. Zur Vermeidung von Wiederholungen kann ferner auch auf die nicht zu beanstandenden Ausführungen der Vorinstanz in der angefochtenen Verfügung verwiesen werden. Die Vorbringen in der Rechtsmitteleingabe sind nicht geeignet, eine Änderung der angefochtenen Verfügung zu bewirken. Der Sachverhalt bleibt unverändert. Eine Auseinandersetzung mit der vorinstanzlichen Argumetation unterbleibt oder erweist sich als unzutreffend wie beispielsweise die Ausführungen, wonach gemäss angefochtener Verfügung Sri Lanka jetzt die absolute Sicherheit aller Bürger jederzeit und überall zu garantieren habe. Diese Formulierung findet sich in den Erwägungen der vorinstanzlichen Verfügung eben gerade nicht. Vielmehr wird in diesem Zusammenhang ausgeführt, dass ein solches Unterfangen keinem Staat gelingen würde. Es ist festzustellen, dass nähere Hinweise oder Aufschlüsse für eine (asyl-) relevante Gefährdungssituation der Beschwerdeführerin fehlen. Angesichts dieser eindeutigen Sachlage erübrigen sich weitere Erörterungen.</w:t>
      </w:r>
    </w:p>
    <w:p>
      <w:r>
        <w:rPr>
          <w:b/>
        </w:rPr>
        <w:t>E. 7</w:t>
      </w:r>
    </w:p>
    <w:p>
      <w:r>
        <w:t>Zusammenfassend ist festzustellen, dass die Beschwerdeführerin kei­ne Ver­folgung im Sinne von Art. 3 AsylG darzutun vermochte. Das BFM hat dem­nach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