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D-466/2016 vom 4. Juli 2017</w:t>
      </w:r>
    </w:p>
    <w:p>
      <w:r>
        <w:t>Bundesverwaltungsgericht, 2017-07-04, DE</w:t>
      </w:r>
    </w:p>
    <w:p>
      <w:r>
        <w:rPr>
          <w:b/>
        </w:rPr>
        <w:t xml:space="preserve">Quelle: </w:t>
      </w:r>
      <w:r>
        <w:t>https://mcp.opencaselaw.ch/entscheid/bvger_D-466_2016</w:t>
      </w:r>
    </w:p>
    <w:p>
      <w:r>
        <w:t>FR: TAF D-466/2016 du 4 juillet 2017</w:t>
      </w:r>
    </w:p>
    <w:p>
      <w:r>
        <w:t>IT: TAF D-466/2016 del 4 luglio 2017</w:t>
      </w:r>
    </w:p>
    <w:p>
      <w:pPr>
        <w:pStyle w:val="Heading2"/>
      </w:pPr>
      <w:r>
        <w:t>Regeste</w:t>
      </w:r>
    </w:p>
    <w:p>
      <w:r>
        <w:t>Wegweisung Dublin (Ausländerrecht)</w:t>
      </w:r>
    </w:p>
    <w:p>
      <w:pPr>
        <w:pStyle w:val="Heading2"/>
      </w:pPr>
      <w:r>
        <w:t>Erwägungen</w:t>
      </w:r>
    </w:p>
    <w:p>
      <w:r>
        <w:rPr>
          <w:b/>
        </w:rPr>
        <w:t>E. 1.1</w:t>
      </w:r>
    </w:p>
    <w:p>
      <w:r>
        <w:t>Das Bundesverwaltungsgericht beurteilt gestützt auf Art. 31 VGG Beschwerden gegen Verfügungen nach Art. 5 VwVG, welche von einer Vorinstanz im Sinne von Art. 33 VGG erlassen wurden, sofern keine das Sachgebiet betreffende Ausnahme im Sinne von Art. 32 VGG vorliegt. Demnach ist das Bundesverwaltungsgericht zuständig für die Beurteilung von Beschwerden gegen Entscheide des SEM, welche in Anwendung von Art. 64a AuG (Wegweisung aufgrund der Dublin-Assoziierungsabkommen) ergangen sind, und entscheidet dabei endgültig (Art. 112 Abs. 1 AuG i.V.m. Art. 31 und 33 VGG sowie Art. 83 Bst. c Ziff. 4 BGG).</w:t>
      </w:r>
    </w:p>
    <w:p>
      <w:r>
        <w:rPr>
          <w:b/>
        </w:rPr>
        <w:t>E. 1.2</w:t>
      </w:r>
    </w:p>
    <w:p>
      <w:r>
        <w:t>Das Verfahren richtet sich nach dem VwVG, soweit das VGG oder das AuG nichts anderes bestimmen (Art. 37 VGG).</w:t>
      </w:r>
    </w:p>
    <w:p>
      <w:r>
        <w:rPr>
          <w:b/>
        </w:rPr>
        <w:t>E. 1.3</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Die Rechtsmitteleingabe ist ferner innert massgeblicher Frist erfolgt sowie formgerecht (Art. 48 Abs. 1 VwVG, Art. 64a Abs. 2 AuG und Art. 52 Abs. 1 VwVG). Auf die Beschwerde ist einzutreten.</w:t>
      </w:r>
    </w:p>
    <w:p>
      <w:r>
        <w:rPr>
          <w:b/>
        </w:rPr>
        <w:t>E. 2</w:t>
      </w:r>
    </w:p>
    <w:p>
      <w:r>
        <w:t>Die Kognition des Bundesverwaltungsgerichts und die zulässigen Rügen richten sich im Bereich des Ausländerrechts nach Art. 49 VwVG.</w:t>
      </w:r>
    </w:p>
    <w:p>
      <w:r>
        <w:rPr>
          <w:b/>
        </w:rPr>
        <w:t>E. 3.1</w:t>
      </w:r>
    </w:p>
    <w:p>
      <w:r>
        <w:t>Gemäss Art. 64a AuG setzt eine Wegweisungsverfügung gestützt auf diese Bestimmung den illegalen Aufenthalt der betroffenen Person in der Schweiz und die Zuständigkeit eines anderen, an das Dublin-Assoziierungsabkommen gebundenen Staates für die Durchführung des Asylverfahrens voraus.</w:t>
      </w:r>
    </w:p>
    <w:p>
      <w:r>
        <w:rPr>
          <w:b/>
        </w:rPr>
        <w:t>E. 3.2</w:t>
      </w:r>
    </w:p>
    <w:p>
      <w:r>
        <w:t>Das Bundesverwaltungsgericht hat im Urteil D-7853/2015 vom 31. Mai 2017 (zur Publikation als Referenzurteil vorgesehen) die Entwicklung der Situation für Asylsuchende in Ungarn eingehend analysiert; insbesondere für jene, die in Anwendung der Dublin-III-VO nach Ungarn überstellt werden. In diesem Urteil hat das Gericht das Vorhandensein zahlreicher Unzulänglichkeiten im ungarischen System festgestellt, welche namentlich den Zugang zum Asylverfahren sowie die Unterbringung der Asylsuchenden in den Transitzonen betreffen. Das Gericht hat sich insbesondere mit dem am 28. März 2017 in Kraft getretenen ungarischen Rechtsakt T/13976 über "die Änderung mehrerer Gesetze zur Verschärfung des Asylverfahrens in der Überwachungszone der ungarischen Grenze" befasst und festgestellt, dass die Umsetzung dieses Aktes, welcher rückwirkend auf sämtliche laufende Asylverfahren anwendbar ist und eine wesentliche Verschärfung der ungarischen Gesetzgebung mit sich bringe, zahlreiche Unsicherheiten und Fragen nach sich ziehe. Es könne daher namentlich nicht mit Sicherheit ermittelt werden, ob Asylsuchende, die nach Ungarn überstellt würden, als nicht aufenthaltsberechtigte Personen angesehen und deshalb in sogenannte "Prätransit"-Zonen abgeschoben würden, oder ob sie als asylsuchende Personen betrachtet würden, deren Gesuche in den Transitzonen zu behandeln seien. Angesichts der zahlreichen Unsicherheiten, die diese Gesetzesänderung hinsichtlich des Verfahrenszugangs und der Aufnahmebedingungen mit sich gebracht habe, sei es dem Bundesverwaltungsgericht gemäss dem derzeitigen Stand der Dinge nicht möglich, das Vorliegen systemischer Schwachstellen im Sinne von Art. 3 Abs. 2 der Dublin-III-Verordnung sowie die Fragen im Zusammenhang mit tatsächlichen Gefahren ("real risk"), denen Asylsuchende bei einer Überstellung nach Ungarn ausgesetzt sein könnten, abschliessend zu beurteilen. Folglich hat es die angefochtene Verfügung aufgehoben und die Sache zur neuen Entscheidung an das SEM zurückgewiesen. Es obliege der erstinstanzlichen Behörde, sämtliche Sachverhaltselemente zusammenzutragen, die zur Beurteilung dieser wesentlichen Fragen erforderlich seien. Es sei nicht die Aufgabe der Beschwerdeinstanz, komplexe ergänzende Abklärungen vorzunehmen. Das Bundesverwaltungsgericht würde sonst mit einem Sachentscheid seine Zuständigkeit überschreiten und die betroffene Partei um den gesetzlich vorgesehenen Instanzenzug bringen (vgl. insbesondere Urteil D-7853/2015 vom 31. Mai 2017 E. 13).</w:t>
      </w:r>
    </w:p>
    <w:p>
      <w:r>
        <w:rPr>
          <w:b/>
        </w:rPr>
        <w:t>E. 3.3</w:t>
      </w:r>
    </w:p>
    <w:p>
      <w:r>
        <w:t>Aus denselben Gründen ist es dem Gericht auch vorliegend nicht möglich, die sich im Zusammenhang mit einer Überstellung nach Ungarn stellenden Fragen zu beurteilen. Die angefochtene Verfügung ist folglich aufzuheben und die Sache zur vollständigen Sachverhaltsfeststellung sowie zu neuer Entscheidung an die Vorinstanz zurückzuweisen.</w:t>
      </w:r>
    </w:p>
    <w:p>
      <w:r>
        <w:rPr>
          <w:b/>
        </w:rPr>
        <w:t>E. 4</w:t>
      </w:r>
    </w:p>
    <w:p>
      <w:r>
        <w:t>Die Beschwerde ist nach dem Gesagten gutzuheissen, soweit die Aufhebung der vorinstanzlichen Verfügung beantragt wird. Angesichts der Beschwerdegutheissung erübrigt sich eine vertiefte Auseinandersetzung mit den einzelnen Parteivorbringen. Insbesondere kann dabei auch offen gelassen werden, wie das Schreiben des Beschwerdeführers an die kantonale Behörde vom 21. Dezember 2015 einzuordnen wäre (vgl. vorinstanzliche Akten K6 S. 2).</w:t>
      </w:r>
    </w:p>
    <w:p>
      <w:r>
        <w:rPr>
          <w:b/>
        </w:rPr>
        <w:t>E. 5</w:t>
      </w:r>
    </w:p>
    <w:p>
      <w:r>
        <w:t>Bei diesem Ausgang des Verfahrens sind keine Kosten zu erheben (Art. 63 Abs. 1 und 2 VwVG). Damit wird das Gesuch des Beschwerdeführers um Gewährung der unentgeltlichen Prozessführung gemäss Art. 65 Abs. 1 VwVG gegenstandslos.</w:t>
      </w:r>
    </w:p>
    <w:p>
      <w:r>
        <w:rPr>
          <w:b/>
        </w:rPr>
        <w:t>E. 6</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Der Rechtsvertreter reichte keine Kostennote ein, führte aber in seiner Eingabe vom 17. Februar 2016 aus, dem Beschwerdeführer seien bisher Fr. 810.- in Rechnung gestellt worden. Dieser Betrag erscheint angesichts der erst am 17. Februar 2016 erfolgten Mandatierung und des Umfangs der Eingabe des Rechtsvertreters vom 17. Februar 2016 unverhältnismässig hoch und ist nicht vollumfänglich zu vergüten. Auf die Nachforderung einer detaillierten Kostennote wird verzichtet, da sich der zu vergütende Aufwand für die Eingaben vom 17. Februar 2016 und 31. März 2016 zuverlässig abschätzen lässt (Art. 14 Abs. 2 VGKE). Unter Berücksichtigung der in Betracht zu ziehenden Berechnungsfaktoren (Art. 9-13 VGKE) ist dem Beschwerdeführer zulasten des SEM eine Parteientschädigung von insgesamt Fr. 400.-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