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D-4668/2024 vom 3. Februar 2025</w:t>
      </w:r>
    </w:p>
    <w:p>
      <w:r>
        <w:t>Bundesverwaltungsgericht, 2025-02-03, DE</w:t>
      </w:r>
    </w:p>
    <w:p>
      <w:r>
        <w:rPr>
          <w:b/>
        </w:rPr>
        <w:t xml:space="preserve">Quelle: </w:t>
      </w:r>
      <w:r>
        <w:t>https://mcp.opencaselaw.ch/entscheid/bvger_D-4668_2024</w:t>
      </w:r>
    </w:p>
    <w:p>
      <w:r>
        <w:t>FR: TAF D-4668/2024 du 3 février 2025</w:t>
      </w:r>
    </w:p>
    <w:p>
      <w:r>
        <w:t>IT: TAF D-4668/2024 del 3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implizit eine unzutreffende Sachverhaltsfeststel- lung gerügt. Diese formelle Rüge ist vorab zu prüfen, da sie zu einer Rück- weisung der Sache an die Vorinstanz führen könnten.</w:t>
      </w:r>
    </w:p>
    <w:p>
      <w:r>
        <w:rPr>
          <w:b/>
        </w:rPr>
        <w:t>E. 3.1</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w:t>
      </w:r>
    </w:p>
    <w:p>
      <w:r>
        <w:t>D-4668/2024 Seite 5 Sachverhalt nicht von Amtes wegen abgeklärt, oder nicht alle für den Ent- scheid wesentlichen Sachumstände berücksichtigt hat (vgl. BENJAMIN SCHINDLER, in: in Auer/Müller/Schindler [Hrsg.], Kommentar zum VwVG, 2. Aufl. 2019, Art. 49 N 29).</w:t>
      </w:r>
    </w:p>
    <w:p>
      <w:r>
        <w:rPr>
          <w:b/>
        </w:rPr>
        <w:t>E. 3.2</w:t>
      </w:r>
    </w:p>
    <w:p>
      <w:r>
        <w:t>Vorliegend ist nicht ersichtlich, inwiefern der rechtserhebliche Sachver- halt von der Vorinstanz unzutreffend festgestellt worden sein sollte, zumal die Beschwerdeführerin – entgegen ihrer Behauptung auf Beschwerde- ebene – an der Anhörung zu den Asylgründen durch die zugewiesene Rechtsvertretung begleitet war und sich aus dem Protokoll keine Hinweise ergeben, dass es zu Übersetzungsproblemen gekommen wäre oder ihre Vorbringen aus anderen Gründen unvollständig oder falsch protokolliert worden wären.</w:t>
      </w:r>
    </w:p>
    <w:p>
      <w:r>
        <w:rPr>
          <w:b/>
        </w:rPr>
        <w:t>E. 3.3</w:t>
      </w:r>
    </w:p>
    <w:p>
      <w:r>
        <w:t>Die formelle Rüge erweist sich somit als unbegründet, weshalb keine Veranlassung besteht, die Verfügung aus formellen Gründen aufzuheben und die Sache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Entscheides im Wesentli- chen aus, Übergriffe durch Dritte oder Befürchtungen, künftig solchen aus- gesetzt zu sein, seien nur dann flüchtlingsrechtlich relevant, wenn der Staat</w:t>
      </w:r>
    </w:p>
    <w:p>
      <w:r>
        <w:t>D-4668/2024 Seite 6 nicht schutzwillig oder schutzfähig sei. Gemäss ständiger Praxis gehe das SEM von der Schutzfähigkeit und Schutzwilligkeit der türkischen Behörden aus, auch bei häuslicher Gewalt. Bei dem Konflikt mit ihren Brüdern handle es sich um eine solche Drittverfolgung, welche demnach nicht asylrelevant sei. Die Beschwerdeführerin habe sich eigenen Aussagen zufolge nie an die Polizei, eine Hilfsorganisation oder ein Frauenhaus gewandt. Sie habe auch keine konkreten Hinweise dafür geliefert, wonach ihr kein Schutz ge- währt würde oder ihr die Schutzsuche nicht zumutbar wäre. Darüber hinaus wäre in ihrem Fall auch eine innerstaatliche Flucht- beziehungsweise Schutzalternative zu bejahen. Es könne ihr zugemutet werden, sich in ei- nem anderen Landesteil niederzulassen. Sie erfülle somit die Flüchtlings- eigenschaft nicht, weshalb ihr Asylgesuch abzulehnen sei.</w:t>
      </w:r>
    </w:p>
    <w:p>
      <w:r>
        <w:rPr>
          <w:b/>
        </w:rPr>
        <w:t>E. 5.2</w:t>
      </w:r>
    </w:p>
    <w:p>
      <w:r>
        <w:t>Dem wurde in der Beschwerde im Wesentlichen entgegnet, bei der Be- schwerdeführerin würden frauenspezifische Fluchtgründe vorliegen. Die Eheschliessung gegen den Willen der männlichen Familienmitglieder werde als eine Schande für die ganze Familie aufgefasst. Die Wieder- herstellung der Familienehre geschehe oft durch Vergeltungsmassnah- men, welche bis hin zur Liquidierung der «Verräterin» reichen könne. Staat- liche Massnahmen und strafrechtliche Sanktionen hätten dabei kaum eine abschreckende Wirkung. So könne auch keine inländische Fluchtalterna- tive existieren, da es den Familienmitgliedern nicht um eine räumliche Ver- treibung gehe, sondern um Sühne. Demnach erfülle die Beschwerdeführe- rin die Flüchtlingseigenschaft.</w:t>
      </w:r>
    </w:p>
    <w:p>
      <w:r>
        <w:rPr>
          <w:b/>
        </w:rPr>
        <w:t>E. 5.3</w:t>
      </w:r>
    </w:p>
    <w:p>
      <w:r>
        <w:t>Dem mit der Beschwerdeverbesserung eingereichten ärztlichen Attest vom 19. August 2024 betreffend den Ehemann der Beschwerdeführerin ist zu entnehmen, dass dieser unter einer schizoaffektiven Störung, gegen- wärtig depressiv, an chronischer Schmerzstörung mit somatischen und psychischen Faktoren, an malignen Wirbelköperfrakturen bei multiplem Myelom, an einem Plasmazellmyelom sowie Status nach Adenokarzinom der Lunge rechts leide. Er könne nur sehr kleine Strecken gehen, könne keine Erledigungen im Haushalt mehr selber durchführen und sei auch bei der Körperhygiene auf Hilfe angewiesen. Seine Ehefrau übernehme die Begleitung und Betreuung permanent. In ihrem Beisein könne er sich vom Suizid distanzieren.</w:t>
      </w:r>
    </w:p>
    <w:p>
      <w:r>
        <w:rPr>
          <w:b/>
        </w:rPr>
        <w:t>E. 5.4</w:t>
      </w:r>
    </w:p>
    <w:p>
      <w:r>
        <w:t>In ihrer Vernehmlassung verwies die Vorinstanz im Asylpunkt im We- sentlichen auf ihre Erwägungen und wiederholte, die Beschwerdeführerin habe sich eigenen Angaben zufolge zu keinem Zeitpunkt hilfesuchend an</w:t>
      </w:r>
    </w:p>
    <w:p>
      <w:r>
        <w:t>D-4668/2024 Seite 7 die Behörden gewandt. Es könne davon ausgegangen werden, dass die türkischen Behörden im vorliegenden Fall schutzfähig und -willig seien.</w:t>
      </w:r>
    </w:p>
    <w:p>
      <w:r>
        <w:rPr>
          <w:b/>
        </w:rPr>
        <w:t>E. 6.1</w:t>
      </w:r>
    </w:p>
    <w:p>
      <w:r>
        <w:t>Das SEM hat die Asylvorbringen der Beschwerdeführerin mit ausführ- licher und zutreffender Begründung als asylrechtlich nicht relevant qualifi- ziert. Es kann vorweg auf diese Ausführungen in der vorinstanzlichen Ver- fügung verwiesen werden.</w:t>
      </w:r>
    </w:p>
    <w:p>
      <w:r>
        <w:rPr>
          <w:b/>
        </w:rPr>
        <w:t>E. 6.2.1</w:t>
      </w:r>
    </w:p>
    <w:p>
      <w:r>
        <w:t>Im Referenzurteil E-1948/2018 vom 12. Juni 2018 sowie den vom SEM zitierten weiteren Urteilen hat sich das Gericht mehrfach zu Schutz- fähigkeit und zum Schutzwillen der türkischen Behörden hinsichtlich des Umgangs mit Opfern von häuslicher Gewalt (und Zwangsheirat) geäussert; es ist dabei zum Schluss gekommen, die bedrohten Frauen seien inner- familiären Übergriffen nicht völlig schutzlos ausgeliefert und die türkischen Behörden seien entschlossen, gegen Ehrenmorde und häusliche Gewalt effektiv vorzugehen sowie grundsätzlich in der Lage, Schutz zu gewähren (vgl. das erwähnte Referenzurteil E-1948/2018 E. 5.2 ff. m.w.H.; Urteile E-4377/2019 vom 8. November 2019 E. 6.1, E-1175/2020 vom 16. März 2020 E. 7.2.2, E-2593/2021 vom 31. August 2021 E. 7.3.1, D-2682/2020 vom 12. Januar 2023 E. 6.2.2 f.).</w:t>
      </w:r>
    </w:p>
    <w:p>
      <w:r>
        <w:rPr>
          <w:b/>
        </w:rPr>
        <w:t>E. 6.2.2</w:t>
      </w:r>
    </w:p>
    <w:p>
      <w:r>
        <w:t>Es gibt zwar Hinweise darauf, dass die Türkei den eingeschlagenen Reformkurs zur Verbesserung der gesellschaftlichen und rechtlichen Situ- ation der Frauen in den letzten Jahren nicht mehr gleichermassen weiter- verfolgt. Der türkische Staatspräsident ist wiederholt mit umstrittenen Äusserungen zur Rolle der Frau in der türkischen Gesellschaft zitiert wor- den und seit dem gescheiterten Putsch von Mitte Juli 2016 ist eine Zu- nahme der Gewalt gegen Frauen zu verzeichnen; in der türkischen Politik scheint sich zunehmend ein konservativ-religiös geprägtes Frauenbild durchzusetzen. So ist die Türkei am 1. Juli 2021 aus der Istanbul-Konven- tion (Übereinkommen des Europarats zur Verhütung und Bekämpfung von Gewalt gegen Frauen und häuslicher Gewalt vom 11. Mai 2011, SR 0.311.35) ausgetreten.</w:t>
      </w:r>
    </w:p>
    <w:p>
      <w:r>
        <w:rPr>
          <w:b/>
        </w:rPr>
        <w:t>E. 6.2.3</w:t>
      </w:r>
    </w:p>
    <w:p>
      <w:r>
        <w:t>Entgegen der Auffassung in der Beschwerde vermögen diese Fest- stellungen die gefestigte Praxis des Gerichts zur Schutzfähigkeit und -bereitschaft der türkischen Behörden vorderhand noch nicht grundlegend zu erschüttern, mithin hat die bestehende Praxis weiterhin Bestand (vgl. Urteil D-2682/2020 a.a.O., E. 6.2.4; zur grundsätzlichen Schutzfähig- keit und zum Schutzwillen der türkischen Strafverfolgungs- und Justiz-</w:t>
      </w:r>
    </w:p>
    <w:p>
      <w:r>
        <w:t>D-4668/2024 Seite 8 behörden vgl. in letzter Zeit etwa Urteile E-150/2024 vom 18. Januar 2024 E. 6.2.1, E-4548/2020 vom 23. Oktober 2023 E. 5.1, D-4435/2022 vom 24. Oktober 2022 E. 6.4, E-970/2022 vom 8. März 2022 E. 7). Die Ausfüh- rungen der Vorinstanz sind daher zu bestätigen, wonach die Beschwerde- führerin sich mit ihrem Schutzanliegen an die staatlichen Institutionen wen- den kann, sie allfällig drohenden künftigen Übergriffen der Brüder nicht schutzlos ausgeliefert wäre und es ihr bei Bedarf auch zuzumuten wäre, sich in einem anderen Landesteil der Türkei selbständig bei den entspre- chenden Stellen zu melden und die Hilfe staatlicher Schutzeinrichtungen und rechtlicher Anlaufstellen in Anspruch zu nehmen. Die Vorinstanz hat somit zu Recht festgehalten, sie erfülle die Flüchtlingseigenschaft nicht und ihr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D-4668/2024 Seite 9</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 Schliesslich ist auch die Erwägung des SEM betreffend Art. 8 EMRK zu stützen, wonach sich der Mann der Beschwerdeführerin aktuell ohne gültige Aufenthaltsbewilligung in der Schweiz aufhält, weshalb sie aus dessen Anwesenheit nichts zu ihren Gunsten ableiten kann.</w:t>
      </w:r>
    </w:p>
    <w:p>
      <w:r>
        <w:t>D-4668/2024 Seite 10</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im Nachgang des Putschversuchs vom Juli 2016 ist nicht von einer landesweiten Situation allgemeiner Gewalt oder von bürgerkriegsähnlichen Verhältnissen auf dem Staatsgebiet der Türkei auszugehen (vgl. Referenzurteil E-1948/2018 a.a.O. E. 7.3; statt vieler Urteil BVGer D-2184/2021 vom 5. September 2022 E. 7.4.1).</w:t>
      </w:r>
    </w:p>
    <w:p>
      <w:r>
        <w:rPr>
          <w:b/>
        </w:rPr>
        <w:t>E. 8.3.3</w:t>
      </w:r>
    </w:p>
    <w:p>
      <w:r>
        <w:t>Bei der Beschwerdeführerin handelt es sich – wie von der Vorinstanz richtig ausgeführt – um eine junge, gesunde Frau, welche über einen Ba- chelorabschluss und Berufserfahrung in der Türkei verfügt. Ferner steht sie gemäss eigenen Aussagen in Kontakt mit ihrer Schwester, ihrer Mutter und einer Freundin, womit sie über ein soziales Netzwerk verfügt, auf welches sie bei ihrer Rückkehr zurückgreifen kann.</w:t>
      </w:r>
    </w:p>
    <w:p>
      <w:r>
        <w:rPr>
          <w:b/>
        </w:rPr>
        <w:t>E. 8.3.4</w:t>
      </w:r>
    </w:p>
    <w:p>
      <w:r>
        <w:t>Nach dem Gesagten ist nicht davon auszugehen, die Beschwerde- führerin würde bei einer Rückkehr ins Heimatland dort aus wirtschaftlichen, sozialen oder gesundheitlichen Gründen in eine existenzbedrohende Situ- ation geraten. Der Wegweisungsvollzug ist daher als zumutbar zu qualifi- zieren.</w:t>
      </w:r>
    </w:p>
    <w:p>
      <w:r>
        <w:rPr>
          <w:b/>
        </w:rPr>
        <w:t>E. 8.3.5</w:t>
      </w:r>
    </w:p>
    <w:p>
      <w:r>
        <w:t>Die Beschwerdeführerin ist in die Schweiz gereist, um mit ihrem Mann zusammen zu sein. Diesen hat sie im Jahr 2018 geheiratet, hat in der Folge aber nicht mit ihm zusammengelebt, da er in der Schweiz und sie in der Türkei wohnhaft waren. Es lag somit in dieser Zeit keine gelebte Beziehung mit diesem vor. Aktuell wohnt die Beschwerdeführerin bei ihrem Mann und pflegt und unterstützt diesen, soweit er sich zu Hause aufhalten kann. Zwar soll an dieser Stelle nicht bestritten werden, dass sie eine für ihren Mann wichtige Unterstützung leistet, dies einerseits für seine physi- sche Gesundheit, als auch für seine psychische. Dennoch liegt keine ob- jektive Abhängigkeit ihres Ehemannes von ihr vor, zumal, wie von der Vor- instanz ausgeführt wurde, einerseits vor ihrer Einreise keine gelebte</w:t>
      </w:r>
    </w:p>
    <w:p>
      <w:r>
        <w:t>D-4668/2024 Seite 11 Beziehung zwischen den beiden bestanden hat und andererseits, da ihr Mann nicht zwingend auf ihre Pflege angewiesen ist. Der Wunsch beider Ehepartner, die verbleibende Zeit miteinander zu verbringen, vermag – bei allem Verständnis dafür – ebenfalls nicht die Unzumutbarkeit des Weg- weisungsvollzugs zu begründen.</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8.6</w:t>
      </w:r>
    </w:p>
    <w:p>
      <w:r>
        <w:t>Das Ersuchen um eine Erstreckung der Ausreisefrist ist nicht vom Bun- desverwaltungsgericht, sondern vom SEM zu behandeln, weshalb das ent- sprechende Ersuchen gestützt auf Art. 8 Abs. 1 VwVG an dieses zu über- 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ihr mit Zwischenverfügung vom 16. Oktober 2024 die unentgeltliche Prozessfüh- rung gewährt wurde und weiterhin von der Bedürftigkeit auszugehen ist, sind keine Verfahrenskosten aufzuerlegen.</w:t>
      </w:r>
    </w:p>
    <w:p>
      <w:r>
        <w:rPr>
          <w:b/>
        </w:rPr>
        <w:t>E. 10.2</w:t>
      </w:r>
    </w:p>
    <w:p>
      <w:r>
        <w:t>Mit Verfügung gleichen Datums wurde auch das Gesuch um Beiord- nung einer amtlichen Rechtsverbeiständung gutgeheissen und die rubri- zierte Rechtsvertreterin als amtliche Rechtsbeiständin eingesetzt. Das Ho- norar der amtlichen Rechtsbeiständin ist bei diesem Verfahrensausgang durch die Gerichtskasse zu vergüten. Die Rechtsvertreterin der Beschwer- deführerin hat mit ihrer inhaltlich letzten Eingabe vom 10. September 2024 eine Kostennote eingereicht. Dabei macht sie Aufwendungen in der Höhe von Fr. 2'248.20 geltend. Dies erscheint als etwas überhöht. Der zeitliche</w:t>
      </w:r>
    </w:p>
    <w:p>
      <w:r>
        <w:t>D-4668/2024 Seite 12 Aufwand der Rechtsvertreterin für die siebenseitige Beschwerde und eine einseitige Stellungnahme ist auf angemessene sechs Stunden zu reduzie- ren. Gestützt auf die in Betracht zu ziehenden Bemessungsfaktoren (Art. 9–13 VGKE) ist der Rechtsbeiständin zu Lasten des Bundesverwal- tungsgerichts ein Honorar von insgesamt Fr. 1’368.20 (inkl. Auslagen und Mehrwertsteueranteil) zuzusprechen.</w:t>
      </w:r>
    </w:p>
    <w:p>
      <w:r>
        <w:t>(Dispositiv nächste Seite)</w:t>
      </w:r>
    </w:p>
    <w:p>
      <w:r>
        <w:t>D-4668/2024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