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D-4668/2013 vom 11. September 2013</w:t>
      </w:r>
    </w:p>
    <w:p>
      <w:r>
        <w:t>Bundesverwaltungsgericht, 2013-09-11, DE</w:t>
      </w:r>
    </w:p>
    <w:p>
      <w:r>
        <w:rPr>
          <w:b/>
        </w:rPr>
        <w:t xml:space="preserve">Quelle: </w:t>
      </w:r>
      <w:r>
        <w:t>https://mcp.opencaselaw.ch/entscheid/bvger_D-4668_2013</w:t>
      </w:r>
    </w:p>
    <w:p>
      <w:r>
        <w:t>FR: TAF D-4668/2013 du 11 septembre 2013</w:t>
      </w:r>
    </w:p>
    <w:p>
      <w:r>
        <w:t>IT: TAF D-4668/2013 del 11 settembre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 Art. 83 Bst. c Ziff. 1 und Bst. d Ziff. 1 des Bundesgerichts­gesetzes vom 17. Juni 2005 [BGG, SR 173.110]).</w:t>
      </w:r>
    </w:p>
    <w:p>
      <w:r>
        <w:rPr>
          <w:b/>
        </w:rPr>
        <w:t>E. 1.2</w:t>
      </w:r>
    </w:p>
    <w:p>
      <w:r>
        <w:t>Mit den dringlichen Änderungen des Asylgesetzes vom 28. Septem­ber 2012 (AS 2012 5359), welche am 29. September 2012 in Kraft getreten sind, wurden unter anderem die Bestimmungen betreffend die Stellung von Asylgesuchen aus dem Ausland aufgehoben. Die Übergangsbestimmung (Ziffer III) hält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1.3</w:t>
      </w:r>
    </w:p>
    <w:p>
      <w:r>
        <w:t>Ebenfalls in den erwähnten dringlichen Änderungen hat der Gesetz­geber neu Art. 3 Abs. 3 AsylG eingeführt, wonach Personen, die wegen Wehrdienstverweigerung oder Desertion ernsthaften Nachteilen ausge­setzt sind oder begründete Furcht haben, solchen Nachteilen ausgesetzt zu werden, keine Flüchtlinge sind. Vorbehalten bleibt das Abkommen vom 28. Juli 1951 über die Rechtsstellung der Flüchtlinge (FK, SR 0.142.30). Bei den am 29. September 2012 hängigen Verfahren stellt sich deshalb die Frage der intertemporalen Geltung dieser neuen Gesetzesbestim­mung. Demnach ist Art. 3 Abs. 3 AsylG in Beschwerdeverfahren bezüglich Verfügungen, die das BFM vor dem Zeitpunkt des Inkrafttretens der Norm am 29. September 2012 erliess, nicht anzuwenden. Hingegen findet die neue gesetzliche Bestimmung in jenen Fällen Anwendung, die - wie in casu - seit dem 29. September 2012 vom BFM entschieden wurden beziehungsweise werden (vgl. das zur Publikation vorgesehene Urteil des Bundesverwaltungsgerichts D-5699/2011 vom 1. Mai 2013 E. 3.2).</w:t>
      </w:r>
    </w:p>
    <w:p>
      <w:r>
        <w:rPr>
          <w:b/>
        </w:rPr>
        <w:t>E. 2.1</w:t>
      </w:r>
    </w:p>
    <w:p>
      <w:r>
        <w:t>Die Beschwerde ist nicht in einer Amtssprache des Bundes abgefasst.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2.2</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Auf die frist- und - vom sprachlichen Mangel abgesehen - formgerecht eingereichte Beschwerde ist somit einzutreten (Art. 108 Abs. 1 AsylG; Art. 105 AsylG i.V.m. Art. 37 VGG und Art. 48 Abs. 1 und Art. 52 Abs. 1 VwVG).</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In der Regel entscheidet das Bundesverwaltungsgericht in der Besetzung mit drei Richtern oder drei Richterinnen (Art. 21 Abs. 1 VGG). Gestützt auf Art. 111a Abs. 1 AsylG kann auch in diesen Fällen auf die Durchführung eines Schriftenwechsels verzichtet werden.</w:t>
      </w:r>
    </w:p>
    <w:p>
      <w:r>
        <w:rPr>
          <w:b/>
        </w:rPr>
        <w:t>E. 5.1</w:t>
      </w:r>
    </w:p>
    <w:p>
      <w:r>
        <w:t>Ein Asylgesuch kann gemäss alt Art. 19 AsylG im Ausland bei einer schweizerischen Vertretung gestellt werden, die es mit einem Bericht an das Bundesamt überweist (alt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5.2</w:t>
      </w:r>
    </w:p>
    <w:p>
      <w:r>
        <w:t>Die Beschwerdeführerin wurde durch die Schweizer Botschaft in Khartum nicht zu ihrem Asylgesuch befragt. Sie legte ihre Vorbringen jedoch bereits im Asylgesuch vom 1. August 2012 schriftlich dar (vgl. Sachverhalt Bst. A). Zudem stellte ihr das BFM mit Zwischenverfügung vom 10. September 2012 zusätzlich einen Katalog von für die vollständige Erstellung des rechtserheblichen Sachverhalts noch zu beantwortenden offenen Fragen zu, wozu sie am 3. Oktober 2012 schriftlich Stellung nahm (vgl. Sachverhalt Bst. B und C). Der entscheidwesentliche Sachverhalt er­scheint angesichts der schriftlichen Darlegung der Asylgründe soweit erstellt, dass die entscheidrelevanten Elemente vorliegen. Bei dieser Sachlage bestand keine Veranlassung, die Beschwerdeführerin vorgängig eines Entscheides durch eine schweizerische Vertretung zusätzlich persönlich befragen zu lassen. Das BFM hat den verfahrensrechtlichen Anforderungen damit Genüge getan.</w:t>
      </w:r>
    </w:p>
    <w:p>
      <w:r>
        <w:rPr>
          <w:b/>
        </w:rPr>
        <w:t>E. 6.1</w:t>
      </w:r>
    </w:p>
    <w:p>
      <w:r>
        <w:t>Das Bundesamt kann ein im Ausland gestelltes Asylgesuch ablehnen, wenn die asylsuchende Person keine Verfolgung glaubhaft machen kann oder ihr die Aufnahme in einem Drittstaat zugemutet werden kann (Art. 3, Art. 7 und alt Art. 52 Abs. 2 AsylG). Gemäss alt Art. 20 Abs. 2 AsylG bewilligt das Bundesamt einer asylsuchenden Person die Einreise zur Abklärung des Sachverhaltes, wenn ihr nicht zugemutet werden kann, im Wohnsitz- oder Aufenthaltsstaat zu bleiben oder in ein anderes Land auszureisen. Gestützt auf alt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6.2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6.3</w:t>
      </w:r>
    </w:p>
    <w:p>
      <w:r>
        <w:t>Hält sich eine asylsuchende Person bereits in einem Drittstaat auf, ist zwar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EMARK 2005 Nr. 19 E. 5.1 S. 176 f.) als auch auf die Zumutbarkeit der Inanspruchnahme des Schutzes im Drittstaat als unzutreffend erweisen. Es ist deshalb zu prü­fen, ob die asylsuchende Person im Drittstaat Schutz vor Verfolgung gefunden hat oder erlangen kann, was in der Regel zur Ablehnung des Asyl­gesuchs und zur Verweigerung der Einreisebewilligung führt. In jedem Fall sind die Kriterien zu prüfen, welche die Zufluchtnahme in diesem Drittstaat als zu­mutbar erscheinen lassen, und diese sind mit einer all­fälligen Beziehungsnähe zur Schweiz abzuwägen. Bei dieser Abwägung bildet die besondere Beziehungsnähe der asylsuchenden Person zur Schweiz ein zentrales, wenn auch nicht das einzige Kriterium (vgl. BVGE 2011/10 E. 5.1, mit weiteren Hinweisen). Zu berücksichtigen sind ausserdem die Beziehungsnähe zum Drittstaat (oder zu anderen Staaten) sowie die voraussichtlichen Eingliederungs- und Assimilationsmöglichkeiten in der Schweiz beziehungsweise im Drittstaat (oder in anderen Staaten). Allein die Tatsache, dass die asylsuchende Person keine besondere Beziehungsnähe zur Schweiz hat, ist deshalb für die Ablehnung des Asylgesuches nicht ausschlaggebend (vgl. EMARK 1997 Nr. 15 E. 2.f S. 131 f.). Hält sich die asylsuchende Person in einem Drittstaat auf, ist die Einreise in die Schweiz beispielsweise zu bewilligen, wenn der Drittstaat keine hinreichende Gewähr für ein ordentliches Asylverfahren bietet und eine Abschiebung in den Heimatstaat nicht ausgeschlossen erscheint, auch wenn eine Beziehungsnähe der asylsuchenden Person zur Schweiz fehlt (vgl. EMARK 2005 Nr. 19 E. 4.3 S. 174 f.). Umgekehrt führt der Umstand, dass eine Beziehungsnähe zur Schweiz namentlich aufgrund von hier an­sässigen nahen Familienangehörigen gegeben ist, nicht zur Erteilung einer Einreisebewilligung, wenn aufgrund einer Abwägung mit anderen Kriterien der Verbleib im Drittstaat objektiv als zumutbar zu erachten ist.</w:t>
      </w:r>
    </w:p>
    <w:p>
      <w:r>
        <w:rPr>
          <w:b/>
        </w:rPr>
        <w:t>E. 7.1</w:t>
      </w:r>
    </w:p>
    <w:p>
      <w:r>
        <w:t>Vorliegend gelangt das Bundesverwaltungsgericht nach einlässlicher Prüfung der Akten in Übereinstimmung mit der Vorinstanz zum Schluss, dass die geltend gemachten Vorbringen der Beschwerdeführerin nicht a priori unglaubhaft erscheinen und darauf schliessen lassen, dass sie in ihrem Heimatstaat Eritrea ernstzunehmende beziehungsweise in asylrechtlicher Hinsicht relevante Schwierigkeiten mit den heimatlichen Behörden gehabt hat. An dieser Feststellung vermag auch die neue gesetzliche Bestimmung von Art. 3 Abs. 3, 1. Satz AsylG nichts zu ändern, statuiert doch Art. 3 Abs. 3 AsylG in dessen zweitem Satz gleichzeitig den Vorbehalt der Flüchtlingskonvention. Ob die Beschwerdeführerin bei einer allfälligen Rückkehr nach Eritrea einer asylrechtlich relevanten Verfolgung ausgesetzt sein könnte, kann vorliegend dennoch offengelassen werden, da sie den zusätzlichen Schutz der Schweiz gemäss alt Art. 52 Abs. 2 AsylG nicht benötigt, weil es ihr, wie nachfolgend aufzuzeigen sein wird, trotz der zugestandenermassen nicht einfachen Bedingungen für eritreische Flüchtlinge im Sudan zuzumuten ist, dort zu verbleiben.</w:t>
      </w:r>
    </w:p>
    <w:p>
      <w:r>
        <w:rPr>
          <w:b/>
        </w:rPr>
        <w:t>E. 7.2</w:t>
      </w:r>
    </w:p>
    <w:p>
      <w:r>
        <w:t>Einleitend ist festzuhalten, dass die Beschwerdeführerin in ihrer Eingabe vom 3. Oktober 2012 unmissverständlich zum Ausdruck gebracht hat, seit ihrer Ankunft in I._______ Anfang April 2012 bis zum jetzigen Zeitpunkt in einem Gästehaus der Kirche zu leben und von der Kirchgemeinschaft unterstützt zu werden (vgl. act. A6/5 S. 4 Ziffn. 2 und 3). Vor diesem Hintergrund erscheint ihre nachträgliche Aussage in der Beschwerde, sie habe dieses Gästehaus bereits nach zwei Monaten wieder verlassen und müsse sich nun innerhalb einer privaten Wohngemeinschaft mit Gelegenheitsarbeiten über Wasser halten (a.a.O. S. 2 Ziff. 4 Abs. 1), als nachträglicher Versuch, ihre persönliche Situation dramatischer darzustellen, als diese tatsächlich ist. Wiewohl die Situation für alle eritreischen Flüchtlinge im Sudan gewiss nicht einfach ist, teilt sie damit das Leid mit Zehntausenden ihrer dort befindlichen Landsleute. Sollte sie indessen einen weiteren Verbleib an ihrem jetzigen Aufenthaltsort in I._______ nicht mehr in Betracht ziehen, bliebe es ihr unbenommen, sich nachträglich beim UNHCR als Flüchtling registrieren zu lassen und sich sodann in das ihr zugewiesene Flüchtlingslager zu begeben.</w:t>
      </w:r>
    </w:p>
    <w:p>
      <w:r>
        <w:rPr>
          <w:b/>
        </w:rPr>
        <w:t>E. 7.3</w:t>
      </w:r>
    </w:p>
    <w:p>
      <w:r>
        <w:t>Obschon unlängst von vorkommenden Deportationen von Eritreern in den Heimatstaat berichtet wurde (vgl. Urteil des Bundesverwaltungsgerichts E-1452/2012 vom 15. Juni 2012 mit weiteren Hinweisen, sowie UNHCR, "UNHCR deeply concerned by deportation of Eritreans from Sudan", vom 26. Juli 2011), ist gleichwohl gemäss gesicherten Erkenntnissen das Risiko einer Verschleppung für Eritreer, die im Sudan vom UNHCR als Flüchtlinge anerkannt sind, gering, da die sudanesischen Be­hörden zwar tatsächlich teilweise eritreische Asylsuchende sowie Flüchtlinge deportieren, diese Rückführungen indessen nicht flächendeckend erfolgen (vgl. statt vieler das Urteil des Bundesverwaltungsgerichts D-6054/2011 vom 24. April 2012). Den Akten sind denn auch keine Hinweise zu entnehmen, die auf ein besonderes Profil der Beschwerdeführerin, nämlich das Profil einer Person, an deren Auslieferung die eritreische Regierung besonders interessiert wäre, schliessen liessen. Sodann ist aufgrund der Aussage der Beschwerdeführerin in ihrer Eingabe vom 3. Oktober 2012, wonach sie in einem Gästehaus der Kirche untergebracht sei und von deren Mitgliedern unterstützt werde, anzunehmen, dass sie diese Unterstützung grundsätzlich weiterhin in Anspruch nehmen kann und gegebenenfalls mittels Hilfe ihrer kirchlichen Freunde auch Mittel und Wege finden dürfte, ihren eigenen Lebensunterhalt selbständig zu bestreiten. Die Beschwerdeführerin hat letztlich nicht schlüssig darzulegen vermocht, weshalb ihr dies zukünftig nicht möglich sein sollte. Die seitens der Beschwerdeführerin nicht näher spezifizierte Aussage, sie sei aufgrund ihrer religiösen Zugehörigkeit Diskriminierungen ausgesetzt, vermag für sich alleine keine Asylrelevanz zu entfalten. Schliesslich vermag auch der Umstand, dass eine J._______ der Beschwerdeführerin in der Schweiz lebt, keinen derart gewichtigen Anknüpfungspunkt darzustellen, dass eine Abwägung der Gesamtumstände im Sinne von alt Art. 52 Abs. 2 AsylG dazu führen müsste, dass es gerade die Schweiz ist, die ihr den erforderlichen Schutz gewähren soll.</w:t>
      </w:r>
    </w:p>
    <w:p>
      <w:r>
        <w:rPr>
          <w:b/>
        </w:rPr>
        <w:t>E. 8</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9</w:t>
      </w:r>
    </w:p>
    <w:p>
      <w:r>
        <w:t>Bei diesem Ausgang des Verfahrens wären dessen Kosten grundsätzlich der Beschwerdeführerin aufzuerlegen (Art. 63 Abs. 1 VwVG). Aus ver­wal­tungsökonomischen Gründen sowie in Anwendung von Art. 63 Abs. 1 in fine VwVG und Art. 2 und 3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