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D-4664/2006 vom 17. Juli 2009</w:t>
      </w:r>
    </w:p>
    <w:p>
      <w:r>
        <w:t>Bundesverwaltungsgericht, 2009-07-17, DE</w:t>
      </w:r>
    </w:p>
    <w:p>
      <w:r>
        <w:rPr>
          <w:b/>
        </w:rPr>
        <w:t xml:space="preserve">Quelle: </w:t>
      </w:r>
      <w:r>
        <w:t>https://mcp.opencaselaw.ch/entscheid/bvger_D-4664_2006</w:t>
      </w:r>
    </w:p>
    <w:p>
      <w:r>
        <w:t>FR: TAF D-4664/2006 du 17 juillet 2009</w:t>
      </w:r>
    </w:p>
    <w:p>
      <w:r>
        <w:t>IT: TAF D-4664/2006 del 17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105 AsylG i.V.m. Art. 48,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w:t>
      </w:r>
    </w:p>
    <w:p>
      <w:r>
        <w:t>Die Vorinstanz hat der vom Beschwerdeführer behaupteten Entführung in Kabul und der nachfolgenden Inhaftierung im Juli 2003 die Asylrelevanz abgesprochen. Die geltend gemachte Verfolgung im Zusammenhang mit der Ermordung der schwangeren Frau hat das BFM demgegenüber als unglaubhaft beurteilt. Nachfolgend ist daher zu prüfen, ob die Vorinstanz den Vorbringen des Beschwerdeführers zu Recht gestützt auf Art. 3 AsylG die flüchtlingsrechtliche Relevanz abgesprochen beziehungsweise die Glaubhaftigkeit gestützt auf Art. 7 AsylG verneint hat.</w:t>
      </w:r>
    </w:p>
    <w:p>
      <w:r>
        <w:rPr>
          <w:b/>
        </w:rPr>
        <w:t>E. 5.1</w:t>
      </w:r>
    </w:p>
    <w:p>
      <w:r>
        <w:t>In Bezug auf die vom Beschwerdeführer im Juli 2003 in Kabul geltend gemachte Entführung ist in Übereinstimmung mit der Vorinstanz festzustellen, dass dieses Vorbringen asylrechtlich nicht von Belang ist. Anlässlich der Befragungen äusserte sich der Beschwerdeführer unterschiedlich darüber, wer ihn entführt habe. So machte er anlässlich der Befragung geltend, er vermute, dass er von Widerstandskämpfern aus dem Panjshirtal entführt worden sei (act. A 1/12, S. 6). Bei der Anhörung führte er dazu jedoch aus, er sei durch Gefolgsleute des Verteidigungsministers von Afghanistan festgenommen worden, welcher eng mit den Russen zusammenarbeite und wolle, dass das russische Schulsystem bestehen bleibe (act. A 8/18, S. 12). Aufgrund dieser Annahme beziehungsweise Vermutung des Beschwerdeführers in Bezug auf seine Entführer besteht in casu kein hinreichender Anlass zur Annahme, er sei aus einem der in Art. 3 Abs. 1 AsylG abschliessend aufgezählten Gründe (wegen seiner Rasse, Religion, Nationalität, Zugehörigkeit zu einer bestimmten sozialen Gruppe oder wegen seiner politischen Anschauungen) persönlich gezielt verfolgt respektive gezielt ernsthaften Nachteilen ausgesetzt worden, zumal notorisch ist, dass Entführungen mit dem Motiv der Gelderpressung in Afghanistan zahlreich sind.</w:t>
      </w:r>
    </w:p>
    <w:p>
      <w:r>
        <w:rPr>
          <w:b/>
        </w:rPr>
        <w:t>E. 5.2</w:t>
      </w:r>
    </w:p>
    <w:p>
      <w:r>
        <w:t>Bezüglich der Verfolgungsvorbringen im Zusammenhang mit der Ermordung der schwangeren Frau ist festzuhalten, dass sich der Beschwerdeführer diesbezüglich teilweise erheblich widersprochen hat. So gab er anlässlich der Befragung zu Protokoll, ein Krankenpfleger habe im Spital auf ihn aufpassen müssen (act. A 1/12, S. 7), wohingegen er bei der Anhörung ausführte, er sei dort von einem der Sicherheitskräfte überwacht worden (act. A 8/18, S. 15). Zudem sagte der Beschwerdeführer anlässlich der Anhörung einerseits aus, er sei während der ersten beiden Tage seiner Haft nicht verhört und erst am dritten Tag gefoltert worden, nachdem F._______ getötet worden sei. Man habe von ihm durch Folter den Namen von dessen Mörder erfahren wollen (act. A 8/18, S. 11), demgegenüber gab er etwas später bei der Anhörung zu Protokoll, die Polizei habe von ihm den Aufenthaltsort seines Bruders und die Gründe der Ermordung der Frau und F._______erfahren wollen. Im Weiteren führte der Beschwerdeführer bei der Anhörung einerseits aus, er habe bei der Folterung am dritten Tag seines Gefängnisaufenthalts das Bewusstsein verloren, weshalb er ins Spital verlegt worden sei (act. A 8/18, S. 11), wohingegen er später in der Anhörung vorbrachte, er habe neun Tage im Gefängnis verbracht (act. A 8/18, S. 15). Unglaubhaft ist überdies die Aussage des Beschwerdeführers anlässlich der Anhörung, wonach man mittels Folterung von ihm den Namen des Mörders von F._______ habe erfahren wollen (act. A 8/18, S. 11). Da der Beschwerdeführer sich zum Zeitpunkt der angeblichen Tötung von F._______ in Haft befunden haben will (act. A 8/18, S. 11), ist es nicht nachvollziehbar, weshalb die Polizei hätte davon ausgehen sollen, der Beschwerdeführer kenne den Mörder von F._______ erzählen. Zudem ist es nicht glaubhaft, dass die Polizei den Beschwerdeführer anstelle seines Bruders verhaftet, misshandelt und im Gefängnis zurückbehalten haben soll, obwohl diese ihn - den Beschwerdeführer - nicht des Mordes an der Frau verdächtigt habe (act. A 8/18, S. 13 ff.). Das Vorbringen des Beschwerdeführers in der Rechtsmittelschrift, wonach es in Afghanistan üblich sei, dass ein Familienangehöriger anstelle des Tatverdächtigen in einem Kriminalfall festgenommen werde (Beschwerde S. 5), ist eine unbelegte Behauptung. Aufgrund dieser widersprüchlichen, nicht nachvollziehbaren und unglaubhaften Aussagen des Beschwerdeführers ist zusammenfassend festzuhalten, dass seine Vorbringen, wonach er wegen der Ermordung einer schwangeren Frau von der Polizei festgenommen und misshandelt worden sei, als nicht glaubhaft im Sinne von Art. 7 AsylG zu erachten sind. Vielmehr ist davon auszugehen, dass es sich bei der behaupteten Verfolgungssituation um ein Konstrukt des Beschwerdeführers handelt.</w:t>
      </w:r>
    </w:p>
    <w:p>
      <w:r>
        <w:rPr>
          <w:b/>
        </w:rPr>
        <w:t>E. 6</w:t>
      </w:r>
    </w:p>
    <w:p>
      <w:r>
        <w:t>Nach dem Gesagten erübrigt es sich, auf die weiteren Ausführungen in der Beschwerde im Einzelnen einzugehen, weil sie am Ergebnis nichts ändern. Unter Berücksichtigung der gesamten Umstände folgt, dass der Beschwerdeführer keine Gründe nach Art. 3 AsylG nachweisen oder glaubhaft machen konnte. Das Bundesamt hat sein Asylgesuch somit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Die ARK hatte sich in ihrer Rechtsprechung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w:t>
      </w:r>
    </w:p>
    <w:p>
      <w:r>
        <w:rPr>
          <w:b/>
        </w:rPr>
        <w:t>E. 8.2.2</w:t>
      </w:r>
    </w:p>
    <w:p>
      <w:r>
        <w:t>Diese Lageanalyse und Praxis der ARK in EMARK 2003 Nr. 10 und 2006 Nr. 9 wird vom Bundesverwaltungsgericht übernommen. Aus den Akten ergibt sich, dass der Beschwerdeführer der Ethnie der Hazara angehört und - abgesehen von wenigen Monaten in Kabul - bis zu seiner Ausreise aus dem Heimatland in der Provinz Ghazni gelebt hat, die südlich von Kabul liegt. Die Provinz Ghazni figuriert nicht unter den in EMARK 2006 Nr. 9 abschliessend aufgeführten Provinzen, in welche - neben Kabul - der Wegweisungsvollzug unter strengen Bedingungen als zumutbar erachtet wird. Der Wegweisungsvollzug des Beschwerdeführers in die Provinz Ghazni muss demnach als unzumutbar qualifiziert werden.</w:t>
      </w:r>
    </w:p>
    <w:p>
      <w:r>
        <w:rPr>
          <w:b/>
        </w:rPr>
        <w:t>E. 8.2.3</w:t>
      </w:r>
    </w:p>
    <w:p>
      <w:r>
        <w:t>Bei dieser Sachlage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ist nicht davon auszugehen, dass der Beschwerdeführer in Kabul oder in einer der in EMARK 2006 Nr. 9 abschliessend aufgelisteten Provinzen über eine gesicherte Wohnsituation und ein tragfähiges Beziehungsnetz verfügt, da alle seine in Afghanistan lebenden Verwandten in der Provinz Ghazni wohnhaft sind. Zwar hat sich der Beschwerdeführer - gemäss seinen Angaben - zwischen September 2002 und Juli 2003 aufgrund seines Studiums während einiger Monate in Kabul aufgehalten. Es ist jedoch nicht anzunehmen, dass er dort während dieser kurzen Zeit ein heute noch bestehendes, tragfähiges Beziehungsnetz hat aufbauen können, zumal seit seinem Aufenthalt in Kabul schon fast sechs Jahre vergangen sind. Mithin fehlen die entscheidenden Zumutbarkeitsfaktoren für die Annahme, der Beschwerdeführer könne sich im Grossraum Kabul oder in einer der in EMARK 2006 Nr. 9 abschliessend aufgelisteten Provinzen eine Existenzgrundlage aufbauen.</w:t>
      </w:r>
    </w:p>
    <w:p>
      <w:r>
        <w:rPr>
          <w:b/>
        </w:rPr>
        <w:t>E. 8.2.4</w:t>
      </w:r>
    </w:p>
    <w:p>
      <w:r>
        <w:t>Angesichts dieser Umstände ist der Vollzug der Wegweisung als unzumutbar zu bezeichnen. Die Voraussetzungen für die Gewährung der vorläufigen Aufnahme sind damit erfüllt. Es kann daher offen bleiben, ob der Vollzug der Wegweisung des Beschwerdeführers auch wegen seiner gesundheitlichen Probleme unzumutbar wäre.</w:t>
      </w:r>
    </w:p>
    <w:p>
      <w:r>
        <w:rPr>
          <w:b/>
        </w:rPr>
        <w:t>E. 9</w:t>
      </w:r>
    </w:p>
    <w:p>
      <w:r>
        <w:t>Aus diesen Erwägungen ergibt sich, dass die angefochtene Verfügung soweit die Fragen der Flüchtlingseigenschaft, des Asyls und der Wegweisung betreffend, Bundesrecht nicht verletzt, den rechtserheblichen Sachverhalt richtig und vollständig feststellt und angemessen ist (Art. 106 AsylG). Die Beschwerde ist nach dem Gesagten im Flüchtlings-, Asyl- und Wegweisungspunkt abzuweisen. Soweit die Frage des Wegweisungsvollzugs betreffend ist die Beschwerde gutzuheissen, die angefochtene Verfügung aufzuheben und das Bundesamt anzuweisen, den Beschwerdeführer vorläufig aufzunehmen (Art. 44 Abs. 2 AsylG i.V.m. Art. 83 Abs. 4 AuG). Einer vorläufigen Aufnahme stehen keine einschränkenden gesetzlichen Tatbestände entgegen (Art. 83 Abs. 7 AuG).</w:t>
      </w:r>
    </w:p>
    <w:p>
      <w:r>
        <w:rPr>
          <w:b/>
        </w:rPr>
        <w:t>E. 10.1</w:t>
      </w:r>
    </w:p>
    <w:p>
      <w:r>
        <w:t>Bei diesem Verfahrensausgang wäre die Hälfte der Verfahrens-kosten, Fr. 300.--, dem Beschwerdeführer aufzuerlegen (Art. 63 Abs. 1 und 5 VwVG). Nachdem aber das Gesuch um unentgeltliche Rechtspflege mit Zwischenverfügung vom 1. Juni 2005 gutgeheissen wurde, ist von einer Kostenauflage abzusehen.</w:t>
      </w:r>
    </w:p>
    <w:p>
      <w:r>
        <w:rPr>
          <w:b/>
        </w:rPr>
        <w:t>E. 10.2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dem Beschwerdeführer auf Grund seines teilweisen Obsiegens eine angemessene Parteientschädigung zuzusprechen, die von der Vorinstanz zu bezahlen ist (Art. 64 Abs. 2 VwVG). Die Parteientschädigung umfasst die Kosten der Vertretung sowie allfällige weitere notwendige Auslagen der Partei (Art. 8 VGKE). Nachdem die Rechtsvertreterin keine Kostennote zu den Akten gereicht hat, ist auf die Einforderung einer solchen zu Gunsten einer Festsetzung aufgrund der Akten zu verzichten (vgl. Art. 14 Abs. 2 VGKE), zumal sich diese mit hinreichender Zuverlässigkeit abschätzen lässt. Die dem Beschwerdeführer vom BFM auszurichtende Parteientschädigung ist auf Fr. 500.-- (inkl.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