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D-4657/2013 vom 18. November 2015</w:t>
      </w:r>
    </w:p>
    <w:p>
      <w:r>
        <w:t>Bundesverwaltungsgericht, 2015-11-18, DE</w:t>
      </w:r>
    </w:p>
    <w:p>
      <w:r>
        <w:rPr>
          <w:b/>
        </w:rPr>
        <w:t xml:space="preserve">Quelle: </w:t>
      </w:r>
      <w:r>
        <w:t>https://mcp.opencaselaw.ch/entscheid/bvger_D-4657_2013</w:t>
      </w:r>
    </w:p>
    <w:p>
      <w:r>
        <w:t>FR: TAF D-4657/2013 du 18 novembre 2015</w:t>
      </w:r>
    </w:p>
    <w:p>
      <w:r>
        <w:t>IT: TAF D-4657/2013 del 18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Der Beschwerdeführer macht geltend, er werde aus politischen Grün­den durch die syrischen Sicherheits­kräfte gesucht.</w:t>
      </w:r>
    </w:p>
    <w:p>
      <w:r>
        <w:rPr>
          <w:b/>
        </w:rPr>
        <w:t>E. 4.2</w:t>
      </w:r>
    </w:p>
    <w:p>
      <w:r>
        <w:t>Wie auch das SEM bereits in seinem Entscheid ausführt, vermochte der Beschwerdeführer glaubhaft zu machen, dass er an einzelnen regimekritischen Demonstrationen teilgenommen hat. Die am 22. Dezember 2011 eingereichten (...) bestätigen die Angaben zu seinem an sich nicht bestrittenen Auftreten an regimefeindlichen Anläs­sen vor Ort. Dabei macht er nicht geltend, über ein herausragendes politisches Profil zu verfügen - seine Unterstützung war offenbar eher technischer Art - und auch habe er nie eine Inhaftierung erlitten (A 20/17 Antworten 6 ff, A 6/11 S. 7 f.). Sodann vermochte der Beschwerdeführer substanziiert und mit Realkennzeichen versehen zu schildern, wie er einmal zusammen mit seinem Vater bei den Behörden vorspre­chen und eine Vereinbarung (Verzicht auf Demonstrationen) unterzeich­nen musste (A 20/17 F51 ff.). In seinen diesbezüglichen Ausführungen macht der Beschwerdeführer klare und detaillierte Angaben dazu, wie er zum Posten kam, wie es dort aussah, wen er dort antraf, was gesprochen wurde und was dort sonst vorgefallen ist. Die Beschreibungen sind dabei äusserst anschaulich und beinhalten wichtige Abläufe aber auch Nebensächlichkeiten, eigene Wahrnehmungen und Gefühlsregungen. Er habe versprechen müssen, nicht mehr an Demonstrationen teilzunehmen, und ihm seien auch einzelne Fragen zu(...) gestellt worden. Nach dem Unterzeichnen der Vereinbarung habe er unbehelligt wieder nach Hause gehen können. Dass er anlässlich dieses Behördenganges asylrechtlich relevante Nachteile erlitten habe, wird vom Beschwerdeführer nicht geltend gemacht. Auch die geschilderte Teilnahme an einer Demonstration danach, trotz Versprechen nicht mehr politisch aktiv zu sein, weist gewisse Realkennzeichen auf (A 20/17 Antworten 51 ff. und 76). Mit der Vorinstanz ist hingegen einig zu gehen, dass die konkrete behördliche Suche nach ihm aufgrund dieser Teilnahme kurz vor seiner Ausreise und die in diesem Zusammenhang geltend gemachten konkreten Verfolgungshandlungen nicht zu überzeugen vermögen. Dass er also wegen der Nichtbeachtung dieser Vereinbarung respektive be­reits zuvor in einem asylrechtlich relevanten Ausmass im Fokus der Behör­den stand, ist damit nicht glaubhaft. Nebst bereits erwähnten Stereotypien weist die Vorinstanz in diesem Zusammenhang zu Recht auf ungereimte Darlegungen hin. So mach­te er bei der Erstbefragung geltend, die Sicherheitskräfte seien "zwei Mal zu uns nach Hause" gekommen und hätten nach ihm verlangt. Nach seiner Ausreise habe eine erneute solche Vorsprache stattgefun­den. Bei der Anhörung gab er zu Protokoll, das elterliche Haus sei einmal gestürmt worden; eine nochmalige behördliche Aktion habe nicht stattgefun­den (A 6/11 S. 7; A 20/17 Antworten 45 ff., 85 ff. und 105 f.). Diese unterschiedlichen Aussagen zur Anzahl der behördlichen Aktionen be­einträchtigen die Glaubhaftigkeit der angeblich zielgerichteten Suche er­heblich, und entgegen den Beschwerdevorbringen sind die vom SEM fer­ner monierten Abweichungen bei der geschilderten Vorgehensweise der Polizei nicht als linguistische Spitzfindigkeiten zu qualifizieren. Zudem wirken seine Aussagen auf Nachfragen, wie er von den Festnahmen nach seiner letzten Demonstrationsteilnahme erfahren habe, reichlich vage (A 20/17 Antworten 77 f.).</w:t>
      </w:r>
    </w:p>
    <w:p>
      <w:r>
        <w:rPr>
          <w:b/>
        </w:rPr>
        <w:t>E. 4.3</w:t>
      </w:r>
    </w:p>
    <w:p>
      <w:r>
        <w:t>Zusammenfassend ergibt sich, dass der Beschwerdeführer im Zeit­punkt der Ausreise zwar als regimekritischer Bürger registriert war, aber kein markantes politisches Profil aufwies und nicht glaubhaft machen kann, bereits Opfer asylrelevanter Verfolgung geworden zu sein. Auf seine Furcht vor künftigen ernsthaften Nachteilen ist untenstehend einzugehen.</w:t>
      </w:r>
    </w:p>
    <w:p>
      <w:r>
        <w:rPr>
          <w:b/>
        </w:rPr>
        <w:t>E. 5.1</w:t>
      </w:r>
    </w:p>
    <w:p>
      <w:r>
        <w:t>Massgeblich für die Beurteilung der Flüchtlingseigenschaft nach Art. 3 AsylG ist nicht allein die Situation im Zeitpunkt der Ausreise, son­dern insbesondere auch die Situation im Zeitpunkt des Asylentscheides.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5.3</w:t>
      </w:r>
    </w:p>
    <w:p>
      <w:r>
        <w:t>Die in Syrien herrschende politische und menschenrechtliche Lage wurde durch das Bundesverwaltungsgericht im Rahmen zweier asylrechtlicher Koordinationsentscheide ausführlich gewürdigt. Es handelt sich dabei um BVGE 2015/3 sowie das Urteil D-5779/2013 vom 25. Februar 2015 (als Referenzurteil publiziert). Im letztgenannten Urteil analysierte das Gericht die Entwicklung in Syrien "in den letzten drei Jahren" und mithin an sich einen Zeitraum seit Februar 2012, in welchem sich der Beschwerdeführer nicht mehr in Syrien befand (vgl. E. 5.3.1). Dabei wird eine Zuspitzung der Lage erkannt. Anderseits wird in der Erwägung 5.3.2 Bezug genommen auf die Entwicklungen "seit März 2011" und mithin auch auf das letzte halbe Aufenthaltsjahr des Beschwerdeführers vor Ort. Insgesamt ist aber offensichtlich, dass der Entscheid die Ereignisse seit Ausbruch der kriegerischen Ereignisse skizziert und zu düsteren Schlussfolgerungen gelangt. So sei durch eine Vielzahl von Berichten belegt, dass die staatlichen syrischen Sicherheitskräfte seit dem Ausbruch des Konflikts im März 2011 gegen tatsächliche oder vermeintliche Regimegegner mit grösster Brutalität und Rücksichtslosigkeit vorgingen. Personen, die sich an regimekritischen Demonstrationen beteiligt hätten, seien sind in grosser Zahl von Verhaftung, Folter und willkürlicher Tötung betroffen. Mit anderen Worten hätten Personen, die durch die staatlichen syrischen Sicherheitskräfte als Gegner des Regimes identifiziert werden, eine Behandlung zu erwarten, die einer flüchtlingsrechtlich relevanten Verfolgung im Sinne von Art. 3 AsylG gleichkomme (a.a.O. E. 5.7.2).</w:t>
      </w:r>
    </w:p>
    <w:p>
      <w:r>
        <w:rPr>
          <w:b/>
        </w:rPr>
        <w:t>E. 5.4</w:t>
      </w:r>
    </w:p>
    <w:p>
      <w:r>
        <w:t>Im vorliegenden Fall ist wie zuvor festgestellt als glaubhaft zu erachten, dass der Beschwerdeführer aufgrund seiner Beteiligung an regimekritischen Demonstration durch die staatlichen Sicherheitskräfte als Regimegegner identifiziert und registriert worden ist. Es erweist sich somit, dass er im Falle einer Rückkehr nach Syrien zum heutigen Zeitpunkt ernsthafte Nachteile im Sinne von Art. 3 AsylG zu befürchten hätte. An dieser Einschätzung ändert auch nichts, dass (...) Dies ist bereits deshalb irrelevant, weil der Beschwerdeführer aus einer Region stammt, (...). Eine Kontaktnahme mit den potentiellen Verfolgern hat damit nicht stattgefunden. Schliesslich kann offen bleiben, ob die Verfolgungsfurcht bereits im Zeitpunkt der Ausreise bestand oder als objektiver Nachfluchtgrund zu werten ist, da sich an der Rechtsfolge nichts ändert.</w:t>
      </w:r>
    </w:p>
    <w:p>
      <w:r>
        <w:rPr>
          <w:b/>
        </w:rPr>
        <w:t>E. 6</w:t>
      </w:r>
    </w:p>
    <w:p>
      <w:r>
        <w:t>Aus den vorstehenden Erwägungen ergibt sich, dass der Beschwerdeführer die Flüchtlingseigenschaft im Sinne von Art. 3 AsylG erfüllt. Folglich ist die Beschwerde insofern gutzuheissen, als damit die Aufhebung der angefochtenen Verfügung - soweit die Ablehnung des Asylgesuchs und die Anordnung der Wegweisung betreffend - beantragt wird. Das SEM ist anzuweisen, dem Beschwerdeführer in der Schweiz Asyl zu gewähren. Bei dieser Sachlage kann da­von abgesehen wer­den, auf weitere Beschwerdevorbringen und die Beweismittel näher einzugehen.</w:t>
      </w:r>
    </w:p>
    <w:p>
      <w:r>
        <w:rPr>
          <w:b/>
        </w:rPr>
        <w:t>E. 7.1</w:t>
      </w:r>
    </w:p>
    <w:p>
      <w:r>
        <w:t>Bei diesem Ausgang des Verfahrens sind keine Kosten zu erheben (Art. 63 Abs. 3 VwVG i.V.m. Art. 37 VGG).</w:t>
      </w:r>
    </w:p>
    <w:p>
      <w:r>
        <w:rPr>
          <w:b/>
        </w:rPr>
        <w:t>E. 7.2</w:t>
      </w:r>
    </w:p>
    <w:p>
      <w:r>
        <w:t>Dem obsiegenden und vertretenen Beschwerdeführer ist in Anwendung von Art. 64 VwVG und Art. 7 Abs. 1 VGKE (SR 173.320.2) eine Entschädigung für die ihm notwen­digerweise er­wachsenen Partei­kosten zuzusprechen. Nachdem keine Kostennote eingereicht wurde und sich der not­wendige Vertretungs­aufwand auf­grund der Akten­lage hinreichend zu­verlässig ab­schätzen lässt, ist die­se auf Fr. 1800.- (in­klusive Auslagen und allfällige Mehr­wertsteuer)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