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D-4651/2023 vom 5. September 2023</w:t>
      </w:r>
    </w:p>
    <w:p>
      <w:r>
        <w:t>Bundesverwaltungsgericht, 2023-09-05, FR</w:t>
      </w:r>
    </w:p>
    <w:p>
      <w:r>
        <w:rPr>
          <w:b/>
        </w:rPr>
        <w:t xml:space="preserve">Quelle: </w:t>
      </w:r>
      <w:r>
        <w:t>https://mcp.opencaselaw.ch/entscheid/bvger_D-4651_2023</w:t>
      </w:r>
    </w:p>
    <w:p>
      <w:r>
        <w:t>FR: TAF D-4651/2023 du 5 septembre 2023</w:t>
      </w:r>
    </w:p>
    <w:p>
      <w:r>
        <w:t>IT: TAF D-4651/2023 del 5 settembre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rendues par le SEM concernant l'asile peuvent être contestées devant le Tribunal (cf. art. 6a al. 1 et 105 LAsi, art. 33 let. d LTAF). Le Tribunal est donc compétent pour connaître du présent litige. Il statue de manière définitive, dès lors que le requérant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1.6</w:t>
      </w:r>
    </w:p>
    <w:p>
      <w:r>
        <w:t>Le mémoire de recours ayant été rédigé en français, la conclusion tendant à la renonciation de sa traduction est sans objet.</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contestée,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(cf. ATAF 2014/24 consid. 2.2). Il se limite en principe aux griefs soulevés et n'examine les questions de droit non invoquées que dans la mesure où les arguments des parties ou le dossier l'y incitent (cf. ATAF 2009/57 consid. 1.2).</w:t>
      </w:r>
    </w:p>
    <w:p>
      <w:r>
        <w:rPr>
          <w:b/>
        </w:rPr>
        <w:t>E. 3</w:t>
      </w:r>
    </w:p>
    <w:p>
      <w:r>
        <w:t>En l'occurrence, 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Partant, la conclusion subsidiaire tendant au renvoi de la cause au SEM doit être rejetée.</w:t>
      </w:r>
    </w:p>
    <w:p>
      <w:r>
        <w:rPr>
          <w:b/>
        </w:rPr>
        <w:t>E. 4</w:t>
      </w:r>
    </w:p>
    <w:p>
      <w:r>
        <w:t>Le recourant conteste le refus d'entrer en matière sur sa demande d'asile. Il y a donc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 Dans une procédure de prise en charge (« take charge »), ces critères doivent être appliqués successivement (cf. principe de l'application hiérarchique des critères de compétence, art. 7 par. 1 RD III), en se basant sur la situation existant au moment où le demandeur a introduit sa demande de protection internationale pour la première fois auprès d'un Etat membre (cf. principe dit de pétrification, art. 7 par. 2 RD III ; ATAF 2012/4 consid. 3.2 ; Filzwieser/Sprung, Dublin III-Verordnung, 2014, K 4 ad art. 7, p. 115).</w:t>
      </w:r>
    </w:p>
    <w:p>
      <w:r>
        <w:rPr>
          <w:b/>
        </w:rPr>
        <w:t>E. 4.3</w:t>
      </w:r>
    </w:p>
    <w:p>
      <w:r>
        <w:t>En vertu de l'art. 12 par. 2 RD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auquel cas l'Etat membre représenté est responsable de l'examen de la demande de protection internationale (cf. Filzwieser/Sprung, op. cit., K 6, 8 ad art. 12, pp. 137-138).</w:t>
      </w:r>
    </w:p>
    <w:p>
      <w:r>
        <w:rPr>
          <w:b/>
        </w:rPr>
        <w:t>E. 4.4</w:t>
      </w:r>
    </w:p>
    <w:p>
      <w:r>
        <w:t>L'Etat membre responsable est tenu de prendre en charge, dans les conditions prévues aux art. 21, 22 et 29 RD III, le requérant qui a introduit une demande de protection internationale dans un autre Etat membre, ainsi que d'examiner cette demande ou de mener à son terme l'examen (cf. art. 18 par. 1 point a et par. 2 al. 1 RD III).</w:t>
      </w:r>
    </w:p>
    <w:p>
      <w:r>
        <w:rPr>
          <w:b/>
        </w:rPr>
        <w:t>E. 4.5</w:t>
      </w:r>
    </w:p>
    <w:p>
      <w:r>
        <w:t>En l'occurrence, le recourant a déposé une demande d'asile en Suisse le 17 juillet 2023, alors qu'il disposait d'un visa en cours de validité, délivré par l'Allemagne en son propre nom pour la période du (...) 2023 au (...) 2023. Le SEM a dès lors adressé aux autorités allemandes, dans le délai fixé à l'art. 21 par. 1 al. 1 RD III, une requête aux fins de prise en charge de l'intéressé. L'Allemagne a accepté cette requête en temps utile (cf. art. 22 par. 1 RD III) et, partant, a reconnu être responsable du traitement de la demande protection du requérant et de la bonne organisation de l'arrivée de celui-ci sur son territoire (cf. art. 22 par. 7 in fine RD III). Le fait que les autorités allemandes aient donné suite à la requête du SEM sur la base de l'art. 12 par. 4 RD III (cf. titulaire d'un ou de plusieurs visas périmés depuis moins de six mois) au lieu du paragraphe 2 de cette même disposition (cf. titulaire d'un visa en cours de validité) ne remet pas en cause la portée de leur accord.</w:t>
      </w:r>
    </w:p>
    <w:p>
      <w:r>
        <w:rPr>
          <w:b/>
        </w:rPr>
        <w:t>E. 4.6</w:t>
      </w:r>
    </w:p>
    <w:p>
      <w:r>
        <w:t>Au vu de ce qui précède, la responsabilité de l'Allemagne, au sens du règlement Dublin III, est acquise, ce que le recourant ne conteste pas.</w:t>
      </w:r>
    </w:p>
    <w:p>
      <w:r>
        <w:rPr>
          <w:b/>
        </w:rPr>
        <w:t>E. 5</w:t>
      </w:r>
    </w:p>
    <w:p>
      <w:r>
        <w:t>Le recourant s'oppose toutefois à son transfert. Il y a donc lieu d'examiner, en premier lieu, s'il existe des motifs d'ordre général faisant obstacle à la mise en oeuvre de cette mesure.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5.2</w:t>
      </w:r>
    </w:p>
    <w:p>
      <w:r>
        <w:t>L'Allemagne est liée par la Charte UE et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ainsi qu'à la Convention du 28 juillet 1951 relative au statut des réfugiés (ci-après :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Dans ce contexte, l'Allemagne est présumée respecter la sécurité des requérants d'asile conformément à ses obligations tirées du droit international et du droit européen, en particulier l'interdiction de traitements inhumains et dégradants (cf. art. 3 CEDH, art. 3 Conv. torture, art. 4 Charte UE ; voir notamment : Cour européenne des droits de l'homme [ci-après : CourEDH], décision K.R.S. c. Royaume-Uni du 2 décembre 2008, n° 32733/08, p. 19). Cette présomption doit toutefois être écartée d'office en cas de défaillances systémiques dans ce pays impliquant, sur la base d'indices sérieux et avérés, un risque réel pour les requérants d'asile d'être victimes de traitements prohibés, notamment au regard de la Charte UE, ou en présence d'une pratique de violation systématique par cet Etat des normes minimales de l'Union européenne ou du droit international qui leur sont applicables (cf. ATAF 2012/27 consid. 6.4 ; 2011/9 consid. 6 ; 2010/45 consid. 7.4.2, 7.5 ; CourEDH, arrêt M.S.S. c. Belgique et Grèce [GC] du 21 janvier 2011, n° 30696/09, § 341 ss). Il appartient au requérant d'asile concerné d'apporter la preuve du non-respect, par l'Etat de destination, de ses obligations internationales (cf. ATAF 2011/9 consid. 6 ; CourEDH, décision précitée K.R.S. c. Royaume-Uni du 2 décembre 2008, p. 20).</w:t>
      </w:r>
    </w:p>
    <w:p>
      <w:r>
        <w:rPr>
          <w:b/>
        </w:rPr>
        <w:t>E. 5.3</w:t>
      </w:r>
    </w:p>
    <w:p>
      <w:r>
        <w:t>En l'espèce, aucun motif ne conduit à considérer que la législation sur le droit d'asile n'est pas appliquée en Allemagne, ou qu'il existe dans ce pays une pratique confirmée de violation systématique des normes en la matière. En particulier, les conditions matérielles d'accueil des demandeurs d'asile ne présentent pas de carences structurelles dont il résulterait d'emblée, et quelles que soient les circonstances du cas d'espèce, un risque concret pour ces personnes de vivre dans des conditions indignes, de précarité et de dénuement, de sorte que le transfert du recourant constituerait un traitement prohibé par l'art. 4 Charte UE (cf. directive Accueil ; ex multis arrêts du Tribunal F-601/2023 du 9 février 2023 consid. 6 ; D-698/2023 du 9 février 2023 p. 5 ; E-677/2023 du 7 février 2023 p. 6 ; F-140/2022 du 19 janvier 2023 consid. 4). De plus, rien n'indique que, de manière générale, l'Allemagne n'examine pas les demandes d'asile dont elle est saisie selon une procédure juste et équitable et ne garantit pas aux requérants l'accès à une voie de recours effective (cf. directive Procédure). Enfin, il y a lieu de relever que, pour leur part également, ni la CourEDH ni la Cour de justice de l'Union européenne (ci-après : CJUE) n'ont constaté l'existence de défaillances systématiques en Allemagne au sens du règlement Dublin III.</w:t>
      </w:r>
    </w:p>
    <w:p>
      <w:r>
        <w:rPr>
          <w:b/>
        </w:rPr>
        <w:t>E. 5.4</w:t>
      </w:r>
    </w:p>
    <w:p>
      <w:r>
        <w:t>Au vu de ce qui précède, l'application de l'art. 3 par. 2 al. 2 RD III ne se justifie pas en l'espèce.</w:t>
      </w:r>
    </w:p>
    <w:p>
      <w:r>
        <w:rPr>
          <w:b/>
        </w:rPr>
        <w:t>E. 6</w:t>
      </w:r>
    </w:p>
    <w:p>
      <w:r>
        <w:t>Il importe de vérifier à ce stade si la situation personnelle du recourant s'oppose à l'exécution de son transfert, dès lors que les autorités de l'Etat de destination ne respecteraient pas le droit international (cf. ATAF 2011/9 consid. 6; 2010/45 consid. 7.5 et les réf. citées).</w:t>
      </w:r>
    </w:p>
    <w:p>
      <w:r>
        <w:rPr>
          <w:b/>
        </w:rPr>
        <w:t>E. 6.1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7.2, 8.2.1). Selon la jurisprudence,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2010/45 consid. 5, 7.2).</w:t>
      </w:r>
    </w:p>
    <w:p>
      <w:r>
        <w:rPr>
          <w:b/>
        </w:rPr>
        <w:t>E. 6.2</w:t>
      </w:r>
    </w:p>
    <w:p>
      <w:r>
        <w:t>Le transfert d'un requérant d'asile vers un Etat participant au règlement Dublin III peut soulever un problème au regard des art. 3 CEDH et 3 par. 1 Conv. torture, lorsqu'il y a des motifs suffisants de croire que l'intéressé court dans l'Etat de destination un risque réel d'être soumis à un traitement inhumain ou dégradant, voire à la torture, au sens de ces dispositions (cf. CourEDH, arrêt Saadi c. Italie du 28 février 2008, n° 37201/06, § 125 ss et la jurisprudence citée). Il appartient au requérant d'asile de produire des éléments démontrant l'existence d'un tel risque (cf. ATAF 2010/45 consid. 7.4.1).</w:t>
      </w:r>
    </w:p>
    <w:p>
      <w:r>
        <w:rPr>
          <w:b/>
        </w:rPr>
        <w:t>E. 6.3</w:t>
      </w:r>
    </w:p>
    <w:p>
      <w:r>
        <w:t>En l'espèce, le recourant n'a pas fourni d'indices concrets et sérieux selon lesquels il serait personnellement soumis, en cas de retour en Allemagne, à des conditions d'accueil ou à un traitement contraires aux art. 3 CEDH et 3 Conv. torture, ou que, s'il devait être renvoyé de ce pays, les autorités ne respecteraient pas le principe de non-refoulement ancré à l'art. 33 Conv. réfugiés. Cela étant, s'il devait être conduit par les circonstances à subir des atteintes à ses droits fondamentaux ou aux obligations de droit international auxquelles l'Allemagne est tenue, il lui appartiendrait d'agir auprès des autorités compétentes, en usant des voies juridiques adéquates, afin de faire valoir ses droits. Rien n'indique que ces démarches ne pourraient pas être entreprises ou qu'elles seraient par principe dépourvues de chances de succès. Enfin, il y a lieu de rappeler que le règlement Dublin III ne confère pas aux requérants le droit de choisir l'Etat membre offrant, selon eux, les meilleures conditions d'accueil en tant qu'Etat responsable de l'examen de leur demande d'asile (cf. ATAF 2010/45 consid. 8.3). S'agissant d'une prise en charge, il incombera au recourant de déposer, dans les meilleurs délais, une demande de protection internationale auprès des autorités allemandes et de se conformer à leurs instructions.</w:t>
      </w:r>
    </w:p>
    <w:p>
      <w:r>
        <w:rPr>
          <w:b/>
        </w:rPr>
        <w:t>E. 6.4</w:t>
      </w:r>
    </w:p>
    <w:p>
      <w:r>
        <w:t>Lors de son audition, le recourant s'est opposé au transfert en soutenant qu'un homme politique béninois serait à sa recherche et aurait des contacts en Allemagne dans le but de le faire tuer. Il n'a toutefois produit aucun élément concret de nature à rendre ses allégations pour le moins vraisemblables, étant précisé que les photos et vidéos versées au dossier sont, sous cet angle, dépourvues d'une quelconque valeur probante, dès lors notamment qu'elles représentent des personnes, autres que le recourant, non identifiées et évoluant dans des circonstances que rien ne permet rattacher à ses propos. En tout état de cause, il importe de rappeler que les autorités allemandes disposent, à l'instar de la Suisse, des moyens de garantir sa sécurité en cas de menaces avérées à son encontre, ce que le SEM a relevé à juste titre également dans la décision querellée (cf. décision du 28 août 2023, ch. II, p. 4). De plus, le recourant n'a pas établi, ni soutenu, que les autorités allemandes refuseraient de lui accorder l'assistance et la protection qui lui seraient dues si son intégrité, voire sa vie, étaient mises en danger par les agissements de tiers.</w:t>
      </w:r>
    </w:p>
    <w:p>
      <w:r>
        <w:rPr>
          <w:b/>
        </w:rPr>
        <w:t>E. 6.5</w:t>
      </w:r>
    </w:p>
    <w:p>
      <w:r>
        <w:t>Enfin, le recourant a fait état de problèmes de santé, dont il y a lieu de vérifier s'ils constituent un obstacle au transfert.</w:t>
      </w:r>
    </w:p>
    <w:p>
      <w:r>
        <w:rPr>
          <w:b/>
        </w:rPr>
        <w:t>E. 6.5.1</w:t>
      </w:r>
    </w:p>
    <w:p>
      <w:r>
        <w:t>Selon la jurisprudence de la CourEDH, le retour forcé d'une personne touchée dans sa santé n'est susceptible de constituer une violation de l'art. 3 CEDH que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arrêt Paposhvili c. Belgique du 13 décembre 2016 [GC], n° 41738/10, § 181-183 ; dans ce sens également, arrêt de la CJUE du 16 février 2017, affaire C-578/16, C.K. e.a c. Republika Slovenija, points 65-69). Comme l'a précisé la CourEDH, il ne s'agit dès lors pas de déterminer si le requérant bénéficiera dans le pays de destination de soins équivalents à ceux dispensés dans le pays d'accueil, mais d'examiner si le degré de gravité qu'implique le renvoi atteint le seuil consacré à l'art. 3 CEDH, soit un engagement du pronostic vital ou un déclin caractérisé de la santé tant psychique que physique (cf.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op. cit., K 9 ad art. 27, pp. 216-217).</w:t>
      </w:r>
    </w:p>
    <w:p>
      <w:r>
        <w:rPr>
          <w:b/>
        </w:rPr>
        <w:t>E. 6.5.2</w:t>
      </w:r>
    </w:p>
    <w:p>
      <w:r>
        <w:t>En l'espèce, il ressort des rapports médicaux produits que le recourant souffre d'une gonarthrose tricompartimentale à gauche asymptomatique, avec léger épanchement et deux corps ostéochondromateux, pour laquelle un traitement anti-inflammatoire et antiulcéreux (Ibuprofen Mylan 600 mg, Pantoprazol Mepha 40 mg) a été prescrit. Au vu de ces éléments, il n'apparaît pas que l'intéressé serait dans l'incapacité de voyager ou que son transfert, en tant que tel, représenterait un danger concret pour sa santé et l'exposerait à une situation équivalant à un traitement prohibé (cf. art. 3 CEDH, art. 3 Conv. torture). Par ailleurs, le trouble dont il souffre ne nécessite pas de manière impérative la poursuite en Suisse des traitements en cours, sous peine d'une aggravation déterminante de sa situation médicale. Pour le surplus, il n'y a aucune raison de retenir que le traitement médicamenteux que requiert l'intéressé s'avère à ce point spécifique et complexe qu'il ne serait ni disponible ni accessible en Allemagne. Pour sa part, le recourant n'a pas été en mesure de renverser la présomption selon laquelle ce pays, en tant que membre de l'Union européenne, dispose des ressources et des infrastructures médicales, et plus généralement d'un système de soins, permettant sa prise en charge adéquate. De plus, rien ne permet de considérer que, dans ce cadre, l'Allemagne refuserait au recourant la prise en charge médicale et le suivi que nécessite son état de santé. En définitive, les problèmes de santé de l'intéressé ne sont pas à ce point graves et particuliers que le transfert contesté serait illicite au sens restrictif de la jurisprudence précitée.</w:t>
      </w:r>
    </w:p>
    <w:p>
      <w:r>
        <w:rPr>
          <w:b/>
        </w:rPr>
        <w:t>E. 6.6</w:t>
      </w:r>
    </w:p>
    <w:p>
      <w:r>
        <w:t>Au vu de ce qui précède, le transfert du recourant n'est pas contraire aux obligations de droit international auxquelles la Suisse est soumise. Le SEM n'était donc pas tenu de renoncer à cette mesure et d'examiner la demande d'asile de l'intéressé, en application de l'art. 17 par. 1 RD III.</w:t>
      </w:r>
    </w:p>
    <w:p>
      <w:r>
        <w:rPr>
          <w:b/>
        </w:rPr>
        <w:t>E. 7</w:t>
      </w:r>
    </w:p>
    <w:p>
      <w:r>
        <w:t>Il reste à examiner si les circonstances du cas d'espèce justifiaient de ne pas entrer en matière sur la demande d'asile du recourant pour des raisons humanitaires au sens de l'art. 29a al. 3 OA 1.</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cette disposition sont remplies et de motiver sa décision lorsque le requérant invoque des circonstances qui font apparaître son transfert comme problématique en raison de sa situation personnelle et/ou de celle régnant dans le pays de destination (cf. ATAF 2015/9 consid. 8.2). À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lors de son audition du 25 juillet 2023, sur son éventuel transfert vers l'Allemagne, le recourant a pu exposer, assisté de son représentant juridique, toutes les raisons pour lesquelles il s'opposait à cette mesure. Dans le cadre de son pouvoir d'examen, le Tribunal constate par ailleurs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w:t>
      </w:r>
    </w:p>
    <w:p>
      <w:r>
        <w:rPr>
          <w:b/>
        </w:rPr>
        <w:t>E. 7.4</w:t>
      </w:r>
    </w:p>
    <w:p>
      <w:r>
        <w:t>Il en découle que le SEM n'était pas tenu de traiter la demande de protection du recourant pour des raisons humanitaires, la clause de souveraineté ne trouvant pas non plus application sur cette base.</w:t>
      </w:r>
    </w:p>
    <w:p>
      <w:r>
        <w:rPr>
          <w:b/>
        </w:rPr>
        <w:t>E. 8</w:t>
      </w:r>
    </w:p>
    <w:p>
      <w:r>
        <w:t>En conséquence, c'est à bon droit que l'autorité de première instance n'est pas entrée en matière sur la demande d'asile du 17 juillet 2023, en application de l'art. 31a al. 1 let. b LAsi, et a prononcé le transfert du recourant vers l'Allemagne en vertu de l'art. 44, 1ère phrase LAsi, aucune exception à la règle générale du renvoi n'étant réalisée (cf. art. 32 OA 1).</w:t>
      </w:r>
    </w:p>
    <w:p>
      <w:r>
        <w:rPr>
          <w:b/>
        </w:rPr>
        <w:t>E. 9</w:t>
      </w:r>
    </w:p>
    <w:p>
      <w:r>
        <w:t>Au vu de ce qui précède,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Avec le présent prononcé, la mesure superprovisionnelle du 30 août 2023 prend fin et les demandes d'octroi de l'effet suspensif au recours (cf. art. 107a al. 2 LAsi) ainsi que de dispense du paiement d'une avance de frais (cf. art. 63 al. 4 PA) deviennent sans objet.</w:t>
      </w:r>
    </w:p>
    <w:p>
      <w:r>
        <w:rPr>
          <w:b/>
        </w:rPr>
        <w:t>E. 12</w:t>
      </w:r>
    </w:p>
    <w:p>
      <w:r>
        <w:t>Les conclusions du recours étant d'emblée vouées à l'échec, la demande d'assistance judiciaire totale doit être rejetée (cf. art. 65 al. 1 PA ; art. 102m al. 1 let. a LAsi).</w:t>
      </w:r>
    </w:p>
    <w:p>
      <w:r>
        <w:rPr>
          <w:b/>
        </w:rPr>
        <w:t>E. 13</w:t>
      </w:r>
    </w:p>
    <w:p>
      <w:r>
        <w:t>Vu l'issue de la cause, les frais de procédure, d'un montant de 750 francs, sont mis à la charge du recourant, conformément aux art. 63 al. 1 PA et 2 et 3 let. a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