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D-4637/2009 vom 17. November 2011</w:t>
      </w:r>
    </w:p>
    <w:p>
      <w:r>
        <w:t>Bundesverwaltungsgericht, 2011-11-17, DE</w:t>
      </w:r>
    </w:p>
    <w:p>
      <w:r>
        <w:rPr>
          <w:b/>
        </w:rPr>
        <w:t xml:space="preserve">Quelle: </w:t>
      </w:r>
      <w:r>
        <w:t>https://mcp.opencaselaw.ch/entscheid/bvger_D-4637_2009</w:t>
      </w:r>
    </w:p>
    <w:p>
      <w:r>
        <w:t>FR: TAF D-4637/2009 du 17 novembre 2011</w:t>
      </w:r>
    </w:p>
    <w:p>
      <w:r>
        <w:t>IT: TAF D-4637/2009 del 17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Bundesamt begründete seine Verfügung vom 25. Juni 2009 im Wesentlichen damit, dass die Probleme des Beschwerdeführers mit der Familie seines Angestellten N._______ nicht asylrelevant seien, zumal kein in Art. 3 AsylG aufgezählter Verfolgungsgrund ersichtlich sei. Folglich genügten diese Schwierigkeiten mangels Asylrelevanz den Anforderungen an die Flüchtlingseigenschaft nicht, weshalb das Asylgesuch abzulehnen sei.</w:t>
      </w:r>
    </w:p>
    <w:p>
      <w:r>
        <w:rPr>
          <w:b/>
        </w:rPr>
        <w:t>E. 2.4</w:t>
      </w:r>
    </w:p>
    <w:p>
      <w:r>
        <w:t>Der Beschwerdeführer führte in seiner Beschwerde aus, dass die Verfolgung zwar nicht vom Staat ausgehe, die Polizei jedoch weder fähig, noch willens sei, ihn zu schützen. Im Falle eines Übergriffs würde die Polizei aufgrund der Korruption N._______ Familie decken und ihm den Schutz verweigern. Seine Mutter und sein Bruder seien seitdem regelmässig behelligt worden, wobei seinem Bruder sogar der Arm gebrochen worden sei. Die beiden seien Q._______ geflüchtet. Die Verfolgung erweise sich daher als asylrelevant und erfülle die Voraussetzungen von Art. 3 und Art. 7 AsylG, weshalb er als Flüchtling anzuerkennen sei.</w:t>
      </w:r>
    </w:p>
    <w:p>
      <w:r>
        <w:rPr>
          <w:b/>
        </w:rPr>
        <w:t>E. 2.5</w:t>
      </w:r>
    </w:p>
    <w:p>
      <w:r>
        <w:t>Im Folgenden ist zunächst zu prüfen, ob die Vorinstanz die vom Beschwerdeführer geltend gemachte Gefahr durch Dritte zu Recht als nicht asylrechtlich relevant beurteilt hat.</w:t>
      </w:r>
    </w:p>
    <w:p>
      <w:r>
        <w:rPr>
          <w:b/>
        </w:rPr>
        <w:t>E. 2.5.1</w:t>
      </w:r>
    </w:p>
    <w:p>
      <w:r>
        <w:t>Eine Verfolgung durch nichtstaatliche Akteure kann grundsätzlich flüchtlingsrechtlich relevant sein, wenn es der betroffenen Person nicht möglich ist, davor im Heimatstaat adäquaten Schutz zu finden (vgl. Entscheidungen und Mitteilungen der Schweizerischen Asylrekurskommission [EMARK] 2006 Nr. 18).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das sie "andersartig" macht,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EMARK 2006 Nr. 32).</w:t>
      </w:r>
    </w:p>
    <w:p>
      <w:r>
        <w:rPr>
          <w:b/>
        </w:rPr>
        <w:t>E. 2.5.2</w:t>
      </w:r>
    </w:p>
    <w:p>
      <w:r>
        <w:t>Vorliegend ist aufgrund der Akten nicht davon auszugehen, der Beschwerdeführer werde wegen der Zugehörigkeit zu einer zur Verfolgung ausgesonderten bestimmten Gruppe, d.h. wegen seines "Anders-Seins", von N._______ Familienangehörigen bedroht oder vom Staat nicht geschützt. Vielmehr wird aus den Ausführungen des Beschwerdeführers ersichtlich, dass die Familie den Beschwerdeführerführer aufgrund einer konkreten, ihm zur Last gelegten Tat behelligte. Da der ehemalige Angestellte N._______ im Nachgang an einen Streit mit dem Beschwerdeführer verschwand, ging dessen Familie davon aus, der Beschwerdeführer habe ihn getötet, und wollte Rache üben. Es ist daher im Verhalten der Angehörigen des verschwundenen N._______ kein diskriminierendes, an ein in der Person des Beschwerdeführers liegendes Merkmal anknüpfendes Element ersichtlich, weshalb es vorliegend an einem Verfolgungsmotiv gemäss Art. 3 AsylG fehlt. Der Beschwerdeführer bestreitet in seiner Rechtmitteleingabe das Fehlen eines asylrechtlich relevanten Motivs schliesslich nicht, sondern beschränkt seine Ausführungen auf die fehlende Möglichkeit, bei den afghanischen Behörden oder den internationalen Truppen Schutz zu finden. Auch im fehlenden Schutz liegt jedoch keine diskriminierende Absicht der staatlichen Behörden, zumal der Schutz nicht deshalb verweigert wird, weil der Beschwerdeführer aufgrund eines in seiner Persönlichkeit liegenden Merkmals getroffen werden soll. Vielmehr ist davon auszugehen, dass die staatlichen Behörden derzeit in vielen Teilen des Landes nicht in der Lage sind, adäquaten Schutz zu gewähren. Selbst wenn dem Beschwerdeführer wegen Korruption der Schutz verwehrt worden wäre, könnte darin keine diskriminierende Absicht aufgrund eines persönlichen Merkmals erkannt werden.</w:t>
      </w:r>
    </w:p>
    <w:p>
      <w:r>
        <w:rPr>
          <w:b/>
        </w:rPr>
        <w:t>E. 2.6</w:t>
      </w:r>
    </w:p>
    <w:p>
      <w:r>
        <w:t>Der Vollständigkeit halber ist anzumerken, dass sich - obwohl die Vorbringen recht ausführlich geschildert worden waren - auch gewisse Ungereimtheiten ergeben. So gab der Beschwerdeführer anlässlich der Befragungen an, zwischen dem Raub in seinem Geschäft und seiner Ausreise seien nur fünf bis sechs Tage vergangen. Es wirkt jedoch nicht überzeugend, dass die vom Beschwerdeführer geltend gemachten Geschehnisse - Raub im Geschäft, Untertauchen des Angestellten, Rückkehr desselben aus Kabul, Konfrontation mit diesem und den Eltern, Verschwinden des Angestellten, Beschuldigung des Beschwerdeführers durch die Familie, Übergriffe durch den aus O._______ angereisten Bruder und schliesslich Organisation und Finanzierung der Ausreise - in einer derart kurzen Zeitspanne vor sich gegangen sind. Unklar ist auch, weshalb der Angestellte, der offenbar aus wohlhabendem und einflussreichem Hause stamme, eine Anstellung in einem Restaurant annehmen und dieses dann ausrauben sollte, um seine Schulden zu begleichen. Ausserdem wäre zu erwarten gewesen, dass der Beschwerdeführer nach dem Geständnis des Angestellten mit diesem und dessen Eltern nach einer finanziellen Einigung gesucht hätte. Und schliesslich wirft auch die überstürzte Ausreise nur wenige Tage nach dem Verschwinden des Angestellten Fragen auf. Der Beschwerdeführer, der sich ja nichts vorzuwerfen hatte, hätte wohl zumindest den Versuch unternommen, die Familie des Verschwundenen von seiner Unschuld zu überzeugen, oder - zumal der Verbleib des Angestellten vollkommen im Ungewissen blieb - dessen Rückkehr abgewartet. Allein der Verweis auf die finanzielle Überlegenheit der anderen Familie überzeugt dabei nicht recht, hatte doch auch diese ein Interesse daran, das Geschehene aufzudecken. Insgesamt könnte es sich bei den Vorbringen des Beschwerdeführers demnach auch um einen konstruierten Sachverhalt handeln. Eine abschliessende Beurteilung der Glaubhaftigkeit erübrigt sich jedoch angesichts der ohnehin fehlenden Asylrelevanz der angeblichen Übergriffe.</w:t>
      </w:r>
    </w:p>
    <w:p>
      <w:r>
        <w:rPr>
          <w:b/>
        </w:rPr>
        <w:t>E. 2.7</w:t>
      </w:r>
    </w:p>
    <w:p>
      <w:r>
        <w:t>Der Beschwerdeführer erfüllt diesen Erwägungen gemäss die Flüchtlingseigenschaft nicht, weshalb das Bundesamt das Asylgesuch zu Recht abgelehnt hat.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4.3</w:t>
      </w:r>
    </w:p>
    <w:p>
      <w:r>
        <w:t>Weil sich vorliegend der Vollzug der Wegweisung - aus den nachfolgend aufgezeigten Gründen - als unzumutbar erweist, ist auf eine Erörterung der beiden andern Kriterien zu verzichten.</w:t>
      </w:r>
    </w:p>
    <w:p>
      <w:r>
        <w:rPr>
          <w:b/>
        </w:rPr>
        <w:t>E. 4.4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4.4.1</w:t>
      </w:r>
    </w:p>
    <w:p>
      <w:r>
        <w:t>In Bezug auf die allgemeine Lage in Afghanistan kann auf die vom Bundesverwaltungsgericht vorgenommene Einschätzung der Situation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4.4.2</w:t>
      </w:r>
    </w:p>
    <w:p>
      <w:r>
        <w:t>Der Beschwerdeführer stammt eigenen Angaben zufolge aus L._______ (Provinz Ghazni). Gemäss der soeben dargelegten Rechtsprechung des Bundesverwaltungsgerichts wird ein Wegweisungsvollzug in die Provinz Ghazni nicht in Betracht gezogen. Hingegen geht das Bundesverwaltungsgericht im zitierten Urteil nicht von einer generellen Unzumutbarkeit des Wegweisungsvollzugs nach Kabul aus.</w:t>
      </w:r>
    </w:p>
    <w:p>
      <w:r>
        <w:rPr>
          <w:b/>
        </w:rPr>
        <w:t>E. 4.4.3</w:t>
      </w:r>
    </w:p>
    <w:p>
      <w:r>
        <w:t>Bei dieser Sachlage stellt sich die Frage, ob dem Beschwerdeführer eine Rückkehr nach Kabul aufgrund einer individuellen Prüfung der Verhältnisse zuzumuten ist. Die Bejahung der Zumutbarkeit einer Rückkehr nach Kabul setzt insbesondere die Existenz eines tragfähigen Beziehungsnetzes, die konkrete Möglichkeit der Sicherung des Existenzminimums sowie eine gesicherte Wohnsituation voraus (vgl. das zur Publikation vorgesehene Grundsatzurteil des Bundesverwaltungsgerichts E 7625/2008 vom 16. Juni 2011 E. 9.9.2 mit Verweis auf EMARK 2003 Nr. 10 E. 10 cc).</w:t>
      </w:r>
    </w:p>
    <w:p>
      <w:r>
        <w:rPr>
          <w:b/>
        </w:rPr>
        <w:t>E. 4.4.4</w:t>
      </w:r>
    </w:p>
    <w:p>
      <w:r>
        <w:t>Anlässlich der Befragungen machte der Beschwerdeführer geltend, bis zur Ausreise immer in seinem Heimatdorf gelebt zu haben. In Kabul verfüge er über zwei Onkel mütterlicherseits, wovon einer eine Art Restaurant beziehungsweise einen Laden mit Säften oder Lebensmitteln führe und der andere eine Autospenglerei besitze (vgl. A23/15 S. 5). Die beiden Onkel hätten ihn bei verschiedenen Gelegenheiten finanziell unterstützt (vgl. A23/15 S. 5 und 8). Er sei nicht zur Schule gegangen, habe aber die Koranschule besucht und zwischen 2006 und 2007 eine Lehre als Schneider absolviert. Danach habe er in M._______ mit seinem Zwillingsbruder ein Teehaus eröffnet.</w:t>
      </w:r>
    </w:p>
    <w:p>
      <w:r>
        <w:rPr>
          <w:b/>
        </w:rPr>
        <w:t>E. 4.4.5</w:t>
      </w:r>
    </w:p>
    <w:p>
      <w:r>
        <w:t>Das BFM führte in der angefochtenen Verfügung vom 25. Juni 2009 aus, weder die allgemeine noch die individuelle Situation des Beschwerdeführers spreche gegen die Zumutbarkeit des Wegweisungsvollzugs. Insbesondere habe der Beschwerdeführer in Kabul zwei Onkel mit eigenen Geschäften, welche ihn bei sich aufnehmen und unterstützen könnten, wie sie dies schon vorher getan hätten. Der Beschwerdeführer verfüge durch seine Tätigkeit als Schneider und die Führung eines Teehauses über genügend berufliche Erfahrung, um sich mit Hilfe seiner Onkel in Kabul eine wirtschaftliche Existenz aufzubauen.</w:t>
      </w:r>
    </w:p>
    <w:p>
      <w:r>
        <w:rPr>
          <w:b/>
        </w:rPr>
        <w:t>E. 4.4.6</w:t>
      </w:r>
    </w:p>
    <w:p>
      <w:r>
        <w:t>Diesen Erwägungen entgegnete der Beschwerdeführer in seiner Rechtmitteleingabe vom 20. Juni 2009, das BFM gehe zu Unrecht davon aus, er könne in Kabul bei seinen Onkel leben. Zu einem Onkel habe er keinen Kontakt mehr, da dieser sich mit seiner Mutter zerstritten habe. Der andere Onkel verfüge zwar tatsächlich über ein Lebensmittelgeschäft, jedoch sei es ihm aufgrund des unerfreulichen Geschäftsgangs nicht möglich, für eine weitere Person aufzukommen. Da sich die Familie daher in einer schwierigen finanziellen Situation befinde, sei es ihnen nicht möglich, ihn zu unterstützen. Auch könne er nicht bei der Familie wohnen, da der Onkel Töchter im heiratsfähigen Alter habe. Dieser Onkel werde ihn daher nicht bei sich wohnen lassen. Zudem gehe das BFM fälschlicherweise davon aus, er sei gesund. Er habe Probleme mit der Atmung, dem Kiefer und dem Magen. Deshalb könne er Nahrung zur Zeit nur in flüssiger Form zu sich nehmen und auch das Sprechen bereite ihm Schmerzen und Mühe. Die Beschwerden seien sehr gravierend und würden seine Arbeitsfähigkeit einschränken.</w:t>
      </w:r>
    </w:p>
    <w:p>
      <w:r>
        <w:rPr>
          <w:b/>
        </w:rPr>
        <w:t>E. 4.4.7</w:t>
      </w:r>
    </w:p>
    <w:p>
      <w:r>
        <w:t>Bezüglich der geltend gemachten gesundheitlichen Schwierigkeiten ist festzustellen, dass dem Beschwerdeführer im eingereichten ärztlichen Bericht vom 21. August 2009 eine skelettal bedingte Gesichtsasymmetrie, welche schon bei der Einreise in die Schweiz bestanden habe, diagnostiziert wird. Als Folge davon leide der Beschwerdeführer an einer extremen Bissstörung, welche für den Kauprozess objektiv von Bedeutung sei. Das Leiden sei durch eine Korrektur des Oberkiefers behandelbar. Ohne Behandlung sei mit der mittelfristigen Entwicklung einer Kiefergelenksarthrose zu rechnen, was zu einer weiterhin verminderten Kaufähigkeit führe. Dem Schreiben des behandelnden Arztes vom 21. Dezember 2009 ist zu entnehmen, dass der Beschwerdeführer mittlerweile so weit behandelt worden sei, um wieder einigermassen schmerzfrei leben zu können, ein operativer Eingriff sei jedoch unabdingbar. Gemäss der eingereichten Bestätigung des Operationstermins vom 22. Juli 2010 ist davon auszugehen, die erforderliche Operation sei am (...) durchgeführt worden. Daraus ergibt sich, dass der Beschwerdeführer in der Schweiz den erforderlichen Massnahmen zur Behandlung seiner gesundheitlichen Schwierigkeiten unterzogen wurde. Mit Eingabe vom 10. März 2011 brachte der Beschwerdeführer vor, trotz der Operation immer noch "Mühe mit dem Essen" zu haben.</w:t>
      </w:r>
    </w:p>
    <w:p>
      <w:r>
        <w:rPr>
          <w:b/>
        </w:rPr>
        <w:t>E. 4.4.8</w:t>
      </w:r>
    </w:p>
    <w:p>
      <w:r>
        <w:t>Der Beschwerdeführer ist in L._______ geboren und aufgewachsen - wohin der Vollzug der Wegweisung als unzumutbar einzuschätzen ist - und hat selber nie in Kabul gelebt. Immerhin verfügt er dort über zwei Onkel, die ihn bereits vor der Ausreise finanziell unterstützt haben sollen. Indessen dürfte dieser Umstand allein nicht ausreichen, die Existenz des Beschwerdeführers in Kabul als gesichert zu betrachten, zumal der Beschwerdeführer in seiner Rechtsmitteleingabe in nachvollziehbarer Weise ausführte, dass sich eine Unterstützung durch seine Onkel als schwierig gestalte. Weitere Bezugspersonen, welche ihn allenfalls in Kabul unterstützen könnten, sind nicht aktenkundig. Gleichzeitig ist davon auszugehen, dass der Beschwerdeführer mit Blick auf die fehlende Schulbildung sowie unter Berücksichtigung der schwierigen Arbeitsmarktsituation in Kabul wohl Mühe habe dürfte, innert angemessener Frist eine Anstellung zu finden, mit welcher er sich seinen Lebensunterhalt selbstständig verdienen könnte. Dies selbst unter Berücksichtigung der Tatsache, dass er eine Lehre als Schneider absolviert und in M._______ ein Teehaus geführt hat. Weiter ist anzumerken, dass der Gesichtsasymmetrie und der damit verbundenen Kau- und Sprachstörung des Beschwerdeführers allein zwar kein schwerwiegender oder gar existenzbedrohender Charakter zukommt, die gesundheitlichen Probleme hingegen als Faktor im Rahmen einer Gesamtbetrachtung berücksichtigt werden müssen. Die gut sichtbare Gesichtsasymmetrie und die erschwerte Nahrungsmittelaufnahme und deren vom Beschwerdeführer erläuterten Folgen dürften sich dabei ungünstig auf eine Reintegration in Afghanistan beziehungsweise Integration in Kabul auswirken. Daher läuft der Beschwerdeführer bei einer Rückkehr mit beachtlicher Wahrscheinlichkeit Gefahr, in eine existenzielle Notlage zu geraten.</w:t>
      </w:r>
    </w:p>
    <w:p>
      <w:r>
        <w:rPr>
          <w:b/>
        </w:rPr>
        <w:t>E. 4.5</w:t>
      </w:r>
    </w:p>
    <w:p>
      <w:r>
        <w:t>Zusammenfassend ist angesichts der gesamten Umstände festzustellen, dass der Vollzug der Wegweisung des Beschwerdeführers nach Afghanistan zum heutigen Zeitpunkt mit überwiegender Wahrscheinlichkeit eine konkrete Gefährdung zur Folge hätte und deshalb als unzumutbar im Sinne von Art. 83 Abs. 4 AuG zu qualifizieren ist.</w:t>
      </w:r>
    </w:p>
    <w:p>
      <w:r>
        <w:rPr>
          <w:b/>
        </w:rPr>
        <w:t>E. 5</w:t>
      </w:r>
    </w:p>
    <w:p>
      <w:r>
        <w:t>Die Beschwerde ist demnach gutzuheissen, soweit sie den Vollzug der Wegweisung betrifft; im Übrigen ist sie abzuweisen. Die Verfügung des BFM vom 25. Juni 2009 ist hinsichtlich der Ziffern 4 und 5 des Dispositivs aufzuheben und das Bundesamt ist anzuweisen, den Beschwerdeführer in der Schweiz vorläufig aufzunehmen.</w:t>
      </w:r>
    </w:p>
    <w:p>
      <w:r>
        <w:rPr>
          <w:b/>
        </w:rPr>
        <w:t>E. 6.1</w:t>
      </w:r>
    </w:p>
    <w:p>
      <w:r>
        <w:t>Bei diesem Ausgang des Verfahrens wären dem Beschwerdeführer grundsätzlich reduzierte Verfahrenskosten aufzuerlegen. Mit Zwischenverfügung vom 29. Juli 2009 verzichtete der zuständige Instruktionsrichter auf die Erhebung eines Kostenvorschusses mit dem Hinweis, über das mit der Beschwerde gestellte Gesuch um Gewährung der unentgeltlichen Rechtspflege im Sinne von Art. 65 Abs. 1 VwVG werde im Endentscheid befunden. Mit Fürsorgebestätigung der Gemeinde Oberdorf vom 17. Juli 2009 hat der Beschwerdeführer seine Bedürftigkeit, von welcher nach wie vor auszugehen ist, nachgewiesen. Das Gesuch um Gewährung der unentgeltlichen Rechtspflege im Sinne von Art. 65 Abs. 1 VwVG wird gutgeheissen. Somit sind keine Verfahrenskosten aufzuerlegen.</w:t>
      </w:r>
    </w:p>
    <w:p>
      <w:r>
        <w:rPr>
          <w:b/>
        </w:rPr>
        <w:t>E. 6.2</w:t>
      </w:r>
    </w:p>
    <w:p>
      <w:r>
        <w:t>Gemäss Art. 64 Abs. 1 VwVG kann die Beschwerdeinstanz der obsiegenden Partei eine Parteientschädigung für die notwendigen und verhältnismässig hohen Kosten zusprechen. Dem vertretenen Beschwerdeführer ist angesichts des teilweisen Obsiegens eine reduzierte Parteientschädigung zuzusprechen (Art. 7 Abs. 2 des Reglements vom 21. Februar 2008 über die Kosten und Entschädigungen vor dem Bundesverwaltungsgericht [VGKE, SR 173.320.2]). Es wurde keine Kostennote eingereicht, der notwendige Vertretungsaufwand lässt sich jedoch aufgrund der Aktenlage hinreichend zuverlässig abschätzen (vgl. Art. 14 Abs. 2 VGKE). Nachdem die Rechtsvertretung erst kurz vor Verfahrensabschluss und damit nach Beschwerdeerhebung und Schriftenwechsel mandatiert wurde, ist die reduzierte Parteientschädigung auf Fr. 200.-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