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D-4630/2013 vom 10. Juli 2014</w:t>
      </w:r>
    </w:p>
    <w:p>
      <w:r>
        <w:t>Bundesverwaltungsgericht, 2014-07-10, DE</w:t>
      </w:r>
    </w:p>
    <w:p>
      <w:r>
        <w:rPr>
          <w:b/>
        </w:rPr>
        <w:t xml:space="preserve">Quelle: </w:t>
      </w:r>
      <w:r>
        <w:t>https://mcp.opencaselaw.ch/entscheid/bvger_D-4630_2013</w:t>
      </w:r>
    </w:p>
    <w:p>
      <w:r>
        <w:t>FR: TAF D-4630/2013 du 10 juillet 2014</w:t>
      </w:r>
    </w:p>
    <w:p>
      <w:r>
        <w:t>IT: TAF D-4630/2013 del 10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In der Beschwerdeschrift wird in formeller Hinsicht gerügt, dass das Bundesamt unvollständige Akteneinsicht gewährt habe. Die angefochtene Verfügung stütze sich auf das Lingua-Gutachten (A15/5), welches dem Beschwerdeführer nicht ediert worden sei. Deshalb habe das BFM die Pflicht, den Inhalt sorgfältig zusammenzufassen. Es sei jedoch nicht mög­lich, fünf Seiten in nur neun Zeilen zusammenzufassen. Die Begründung, weshalb die sachverständige Person davon ausgehe, dass der Beschwerdeführer nicht in Tibet sozialisiert worden sei, gehe aus dem Gut­achten beziehungsweise der Zusammenfassung nicht hervor. Der Be­schwerdeführer habe bereits bei der BzP bewiesen, dass er erstaunliche Kenntnisse über Tibet besitze. Die sachverständige Person stehe erst seit sechs Monaten bei Lingua unter Vertrag. Sie dürfte deshalb bei der Erstellung von Lingua-Gutachten noch nicht über viel Erfahrung verfügen. Die vorinstanzliche Verfügung sei deshalb aufzuheben und an das BFM zurückzuweisen. Das BFM müsse das Gutachten edieren oder dessen In­halt so zusammenzufassen, dass Klarheit darüber bestehe.</w:t>
      </w:r>
    </w:p>
    <w:p>
      <w:r>
        <w:rPr>
          <w:b/>
        </w:rPr>
        <w:t>E. 4.1</w:t>
      </w:r>
    </w:p>
    <w:p>
      <w:r>
        <w:t>Vorab ist an dieser Stelle festzuhalten, dass sämtliche am Asylverfah­ren teilnehmenden Personen hinsichtlich ihrer Vertrauenswürdigkeit und charakterlichen sowie fachlichen Eignung sorgfältig geprüft werden und somit das volle Vertrauen der Behörden geniessen. Demnach kann auch aus einer relativ kurzen Anstellung beim BFM beziehungsweise bei der Lingua-Fachstelle nicht auf mangelnde fachliche Qualifikation geschlossen werden. Vielmehr geht aus den aktenkundigen Qualifikationen der erwähnten sachverständigen Person hervor, dass diese über die notwendigen sprachlichen und geografischen Kenntnisse der vom Beschwerdeführer angeführten Herkunftsregion verfügt. Im Übrigen ist es für die Experten weder zwingend im Heimatdorf des Beschwerdeführers gelebt zu haben noch dessen Muttersprache zu beherrschen. Vielmehr müssen sie befähigt sein, aufgrund ihrer Qualifikationen und ihres Wissens schlüssige und nachvollziehbare Erkenntnisse zu den sprachlichen und landeskundlich-kulturellen Begebenheiten der Heimatregion des Beschwerdeführers zu besitzen und dementsprechend die diesbezüglichen Angaben und Sprachkenntnisse des Beschwerdeführers einordnen und beurteilen zu können. Diese Voraussetzungen sind vorliegend erfüllt.</w:t>
      </w:r>
    </w:p>
    <w:p>
      <w:r>
        <w:rPr>
          <w:b/>
        </w:rPr>
        <w:t>E. 4.2</w:t>
      </w:r>
    </w:p>
    <w:p>
      <w:r>
        <w:t>Im Rahmen der Offenlegung der Lingua-Analyse hat sich das BFM bei der Anwendung von Art. 27 und Art. 28 VwVG an den durch die Rechtsprechung festgelegten Umfang gehalten. Insbesondere wurde das Erfordernis von Art. 28 VwVG erfüllt, wonach, falls einer Partei die Einsichtnahme in ein Aktenstück verweigert wird, auf dieses nur dann abgestellt werden darf, wenn ihr die Behörde von seinem für die Sache wesentlichen Inhalt mündlich oder schriftlich Kenntnis und ausserdem Gelegenheit gegeben hat, sich zu äussern und Gegenbeweismittel zu nennen. Bereits mit Vernehmlassung vom 28. August 2013 wurde der Be­schwerdeführer darauf hingewiesen, dass das fünfseitige Gutachten (A15/5) nicht auf fünf Seiten materielle Ausführungen enthält. Vielmehr beinhalten zwei Seiten (A15/5 S. 4.f.) lediglich die Kopie des Auftrags für die Lingua-Analyse via Fax. Einer Seite lässt sich nur die einzeilige Schlussfolgerung sowie das Datum der Analyse, der Stempel und die Unterschrift entnehmen (A15/5 S. 3), und die erste Seite der Analyse besteht fast zur Hälfte aus formellen Angaben. Folglich fanden die materiellen Ausführungen tatsächlich auf gerade einmal eineinhalb Seiten Platz. Dem Beschwerdeführer wurde im Rahmen der Anhörung vom 11. Juli 2013 zum Ergebnis des Lingua-Gutachtens das rechtliche Gehör ge­währt. In diesem Zusammenhang wurde er auf seine falschen beziehungsweise widersprüchlichen Aussagen aufmerksam gemacht und über den Werdegang und den Herkunftsort der sachverständigen Person orientiert. Auch machte ihn der Befrager darauf aufmerksam, dass seine Aussagen von auffallendem Nichtwissen gekennzeichnet seien. So habe er weder über Alltagskenntnisse noch über geografische Grundkennt­nisse (er kannte keine Nachbardörfer von E._______, wusste den Namen der Schule in E._______ nicht oder wo der Fluss [...] liegt) verfügt oder rudimentäre Kenntnisse seines Arbeitsplatzes vorweisen können (vgl. A19/12 F. 60-64 S. 8). Somit wurde dem Beschwerdeführer der wesentli­che Inhalt des Gutachtens vollständig und korrekt wiedergegeben und ihm gleichzeitig die Möglichkeit zur Stellungnahme eingeräumt. Es liegt demnach keine Verletzung des rechtlichen Gehörs vor.</w:t>
      </w:r>
    </w:p>
    <w:p>
      <w:r>
        <w:rPr>
          <w:b/>
        </w:rPr>
        <w:t>E. 4.3</w:t>
      </w:r>
    </w:p>
    <w:p>
      <w:r>
        <w:t>Zur Frage, ob das BFM im angefochtenen Entscheid die Begründungspflicht verletzt hat, ist vorderhand festzuhalten, dass die Behörden verpflichtet sind, Vorbringen tatsächlich zu hören, ernsthaft zu prüfen und in ihrer Entscheidfindung angemessen zu berücksichtigen. Nicht erforderlich ist jedoch, dass sich die Begründung mit allen Parteistandpunkten einlässlich auseinandersetzt und jedes Vorbringen ausdrücklich wiederlegt (vgl. Urteil des Bundesverwaltungsgerichts E-2798/2014 vom 2. Juni 2014 E. 6.1 m. w. H.).</w:t>
      </w:r>
    </w:p>
    <w:p>
      <w:r>
        <w:rPr>
          <w:b/>
        </w:rPr>
        <w:t>E. 4.4</w:t>
      </w:r>
    </w:p>
    <w:p>
      <w:r>
        <w:t>Das Bundesverwaltungsgericht hat die Anforderungen an das Glaub­haftmachen der Vorbringen in einem jüngeren Entscheid dargelegt und folgt dabei ständiger Praxis. Darauf kann hier verwiesen werden (vgl. BVGE 2010/57 E. 2.2 und 2.3).</w:t>
      </w:r>
    </w:p>
    <w:p>
      <w:r>
        <w:rPr>
          <w:b/>
        </w:rPr>
        <w:t>E. 5.1</w:t>
      </w:r>
    </w:p>
    <w:p>
      <w:r>
        <w:t>Die Vorinstanz hat in ihrer Verfügung zu Recht und mit ausführlicher Begründung - so dass zur Vermeidung von Wiederholungen darauf und auf die Vernehmlassung vom 28. August 2013 verwiesen werden kann - festgestellt, dass die Vorbringen des Beschwerdeführers unglaubhaft seien. Gewichtige Zweifel entstehen insbesondere aufgrund des Lingua-Gut­achtens, wonach der Beschwerdeführer nicht aus der von ihm angege­benen Herkunftsregion (E._______ beziehungsweise D._______), wo er sein Leben lang gewohnt haben will, stamme. Das Beharren in seiner Be­schwerdeschrift auf der Richtigkeit seiner Angaben bezüglich seines Her­kunftsortes sowie den topographischen Verhältnissen vermögen an die­ser Einschätzung nichts zu ändern. Insbesondere der Einwand, wonach er bereits bei der BzP unter Beweis gestellt habe, dass er erstaunliche Kenntnisse über Tibet besitze, vermag nicht zu überzeugen, zumal der Beschwerdeführer bei der BzP zu Protokoll gab, er komme aus dem Dorf D._______, L._______, M._______ (vgl. A6/11 S. 4), währendem er bei der Lingua-Analyse geltend machte, er stamme aus E._______ und im Rahmen des ihm bei der Anhörung zu seinen Asylgründen gewährten rechtlichen Gehörs erklärte, nie geltend gemacht zu haben, dass er aus D._______ stamme (vgl. A19/12 S. 8 F. 65).</w:t>
      </w:r>
    </w:p>
    <w:p>
      <w:r>
        <w:rPr>
          <w:b/>
        </w:rPr>
        <w:t>E. 5.2</w:t>
      </w:r>
    </w:p>
    <w:p>
      <w:r>
        <w:t>Auch der Hinweis in der Replik vom 16. September 2013 auf das Ur­teil des Bundesverwaltungsgerichts E-163/2012 vom 12. August 2012, welches EMARK 2005 Nr. 1 berücksichtigt habe, vermag zu keiner ande­ren Betrachtungsweise zu führen. Das Bundesverwaltungsgericht hat nämlich im zur Publikation bestimmten Länderurteil E-2981/2012 vom 20. Mai 2014 seine Praxis gemäss EMARK 2005 Nr. 1 dahingehend präzisiert, dass bei Personen tibetischer Ethnie, die ihre wahre Herkunft verschleiern oder verheimlichen, vermutungsweise davon auszugehen sei, dass keine flüchtlings- oder wegweisungsbeachtlichen Gründe gegen eine Rückkehr an ihren bisherigen Aufenthaltsort bestünden. Denn die Abklärungspflicht der Asylbehörden findet ihre Grenze an der Mitwirkungspflicht der asylsuchenden Person. Verunmöglicht ein tibeti­scher Asylsuchender durch die Verletzung seiner Mitwirkungspflicht die Abklärung, welchen effektiven Status er in Nepal respektive in Indien innehat,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(vgl. E-2981/2012 E. 5.9 f.).</w:t>
      </w:r>
    </w:p>
    <w:p>
      <w:r>
        <w:rPr>
          <w:b/>
        </w:rPr>
        <w:t>E. 5.3</w:t>
      </w:r>
    </w:p>
    <w:p>
      <w:r>
        <w:t>Zusammenfassend ist somit festzuhalten, dass die Asylvorbringen des Beschwerdeführers weder den Anforderungen an das Glaubhaftmachen im Sinne von Art. 7 AsylG noch denjenigen an die Flüchtlingseigenschaft im Sinne von Art. 3 AsylG genügen. An dieser Ein­schätzung vermögen weder die weiteren Ausführungen in der Rechtsmit­teleingabe sowie in der Replik noch die mit Eingabe vom 11. Dezember 2013 zu den Akten gereichten Bestätigungen etwas ändern, zumal es sich bei letzteren lediglich um private Schreiben handelt, denen nur ein geringer Beweiswert zukommt.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BVGE 2011/24 E. 10.1 S. 502).</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Ausländergesetz (AuG, SR 142.20).</w:t>
      </w:r>
    </w:p>
    <w:p>
      <w:r>
        <w:rPr>
          <w:b/>
        </w:rPr>
        <w:t>E. 7.2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jedoch nicht Sache der Asylbehörden, nach allfälligen Wegweisungshindernissen in hypothetischen Heimat- oder Herkunftsländern zu forschen, wenn eine asylsuchende Person ihre Herkunft verschleiert und keine eindeutigen Hinweise auf die tatsächliche Staatangehörigkeit vorliegen (vgl. EMARK 2005 Nr. 1 E. 3.2.2, mit weiteren Hinweisen). Ein Vollzug der Wegweisung in die Volksrepublik China ist im vorinstanzlichen Entscheid ausdrücklich ausgeschlossen (vgl. BFM-Verfügung vom 19. Juli 2013, S. 6 E. 2), dieser Ausschluss wurde jedoch nicht in das Dispositiv aufgenommen. An dieser Stelle ist, im Sinne einer Klarstellung und in Übereinstimmung mit der erwähnten Erwägung der angefochtenen Verfügung, darauf hinzuweisen, dass für alle Exil-Tibeter und Exil-Tibeterinnen ein Vollzug der Wegweisung nach China auszuschliessen ist.</w:t>
      </w:r>
    </w:p>
    <w:p>
      <w:r>
        <w:rPr>
          <w:b/>
        </w:rPr>
        <w:t>E. 7.3</w:t>
      </w:r>
    </w:p>
    <w:p>
      <w:r>
        <w:t>Im vorliegenden Fall hat der Beschwerdeführer, der tibetischer Ethnie ist, keine Identitätspapiere eingereicht und auch seine behauptete chinesische Staatsangehörigkeit nicht glaubhaft gemacht. Hingegen erlaubt die Herkunftsanalyse der BFM-internen Fachstelle "Lingua" die Annahme, welchem Land beziehungsweise welcher Region der Beschwerdeführer aufgrund seiner sprachlichen und kulturellen Sozialisation zuzuordnen ist. Eine Zuordnung der Staatsangehörigkeit ist indes nicht möglich, da der Ort der Sozialisation mit demjenigen der Staatsangehörigkeit nicht gleichzusetzen ist (vgl. EMARK, a.a.O. E. 3.2.1). Aufgrund des ausführlichen Lingua-Gutachtens und der wenig überzeugenden Erklärungsversuche des Beschwerdeführers anlässlich des rechtlichen Gehörs sowie seiner unsubstanziierten Ausführungen, ist seine angebliche Herkunft aus der Volksrepublik China nicht glaubhaft. Viel­mehr ist mit überwiegender Wahrscheinlichkeit davon auszugehen, dass er vor seiner Ankunft in der Schweiz in der exiltibetischen Diaspora gelebt hat, wodurch sich allerdings noch keine schlüssigen Erkenntnisse hin­sichtlich seiner Staatsangehörigkeit ergeben. 7.4.1 Im zur Publikation bestimmten Länderurteil E-2981/2012 hat das Bundesverwaltungsgericht in E. 5 ausgeführt, dass seine Rechtspre­chung in Bezug auf die Frage der Staatsangehörigkeit von im Exil leben­den Personen tibetischer Ethnie (EMARK, a.a.O., E. 4.3) insoweit zu präzisieren sei, als dass bei Personen tibetischer Ethnie, die ihre wahre Herkunft verschleiern oder verheimlichen, vermutungsweise davon auszugehen sei, dass keine flüchtlings- oder wegweisungsbeachtlichen Gründe gegen eine Rückkehr an ihren bisherigen Aufenthaltsort bestün­den. 7.4.2 Im vorliegenden Fall hat der Beschwerdeführer, der tibetischer Ethnie ist, keine Identitätspapiere eingereicht. Zudem erscheint seine be­hauptete chinesische Staatsangehörigkeit aufgrund des Alltagswissens­tests - wie vorne dargelegt - nicht glaubhaft. Sodann sind seine Ausführungen bezüglich seiner Reise in die Schweiz unsubstanziiert ausgefallen und somit ebenfalls unglaubhaft. Es ist davon auszugehen, der Beschwerdeführer habe nur unter Verwendung authentischer Identitäts- und Reisepapiere in die Schweiz gelangen können. Es kann seitens der Asylbehörden nicht eruiert werden, welche Staatsangehörigkeit er besitzt, wodurch er die ihr obliegende Mitwirkungspflicht verletzt, deren Folgen er insofern zu tragen hat, als seitens der Asylbehörden der Schluss gezogen werden muss, es spreche nichts gegen eine Rückkehr an den bisherigen Aufenthaltsort, da er keine konkreten glaubhaften Hinweise geltend gemacht hat, die gegen eine Rückkehr dorthin sprechen würden.</w:t>
      </w:r>
    </w:p>
    <w:p>
      <w:r>
        <w:rPr>
          <w:b/>
        </w:rPr>
        <w:t>E. 7.5</w:t>
      </w:r>
    </w:p>
    <w:p>
      <w:r>
        <w:t>Es obliegt dem Beschwerdeführer,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Rechtspflege ge­mäss Art. 65 Abs. 1 VwVG ist abzuweisen, da sich die Rechtsbegehren wegen einer Verletzung der Mitwirkungspflicht als aussichtslos erwiesen haben.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