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D-462/2020 vom 4. Mai 2020</w:t>
      </w:r>
    </w:p>
    <w:p>
      <w:r>
        <w:t>Bundesverwaltungsgericht, 2020-05-04, DE</w:t>
      </w:r>
    </w:p>
    <w:p>
      <w:r>
        <w:rPr>
          <w:b/>
        </w:rPr>
        <w:t xml:space="preserve">Quelle: </w:t>
      </w:r>
      <w:r>
        <w:t>https://mcp.opencaselaw.ch/entscheid/bvger_D-462_2020</w:t>
      </w:r>
    </w:p>
    <w:p>
      <w:r>
        <w:t>FR: TAF D-462/2020 du 4 mai 2020</w:t>
      </w:r>
    </w:p>
    <w:p>
      <w:r>
        <w:t>IT: TAF D-462/2020 del 4 maggio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 so auch hier -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BVGE 2012/7 E. 2.4.2 und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Revisionsgrund gelten Gründe, welche die Partei, die um Revision nachsucht, bereits im ordentlichen Beschwerdeverfahren hätte geltend machen können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2.1</w:t>
      </w:r>
    </w:p>
    <w:p>
      <w:r>
        <w:t>Im Revisionsgesuch ist insbesondere der angerufene Revisionsgrund anzugeben und die Rechtzeitigkeit des Revisionsbegehrens im Sinne von Art. 124 BGG darzutun. Gemäss BVGE 2013/22 können nachträglich, d.h. erst nach Abschluss des ordentlichen Verfahrens vor dem Bundesverwaltungsgericht entstandene Beweismittel, welche vorbestehende Tatsachen belegen sollen, nicht im Rahmen eines Revisionsgesuches vom Bundesverwaltungsgericht entgegengenommen und geprüft werden.</w:t>
      </w:r>
    </w:p>
    <w:p>
      <w:r>
        <w:rPr>
          <w:b/>
        </w:rPr>
        <w:t>E. 2.2</w:t>
      </w:r>
    </w:p>
    <w:p>
      <w:r>
        <w:t>Der Gesuchsteller macht den Revisionsgrund von Art. 123 Abs. 2 Bst. a BGG (nachträgliches Auffinden entscheidender Beweismittel) geltend. Der diesbezüglich eingereichte Antrag seines türkischen Anwalts auf Einsicht in die Ermittlungsakte an die Staatsanwaltschaft in B._______ (vgl. Sachverhalt Bst. D.a; Beilage 4) datiert vom (...) ist somit erst nachträglich, das heisst nach dem durch das Urteil des Bundesverwaltungsgerichts D-3600/2017 vom 28. März 2019 erfolgten Abschluss des ordentlichen Verfahrens entstanden. Demnach ist auf das Revisionsgesuch, soweit es sich auf den Antrag des türkischen Anwalts an die Staatsanwaltschaft in B._______ auf Einsicht in die Ermittlungsakte vom (...) bezieht, nicht einzutreten. Was das Mitteilungsprotokoll vom (...) und den Bericht vom (...) anbelangt - beide verfasst von C._______, dem türkischen Rechtsvertreter des Gesuchstellers (vgl. Sachverhalt Bst. D.a; Beilagen 3 und 5), so sind diese Dokumente zwar ebenfalls nachträglich entstanden. Der Gesuchsteller verweist jedoch im Sinne einer Begründung seines Revisionsgesuchs auf diese Dokumente, weshalb sie im vorliegenden Revisionsverfahren zu berücksichtigen sind. Bezüglich dieser Vorbringen und der weiteren Beweismittel ist auf das im Übrigen form- und fristgerecht eingereichte Revisionsgesuch vom 15. Januar 2020 (vgl. Art. 124 BGG, Art. 47 VGG i.V.m. Art. 67 Abs. 3 VwVG) einzutreten.</w:t>
      </w:r>
    </w:p>
    <w:p>
      <w:r>
        <w:rPr>
          <w:b/>
        </w:rPr>
        <w:t>E. 3</w:t>
      </w:r>
    </w:p>
    <w:p>
      <w:r>
        <w:t>Im Folgenden ist der Frage nachzugehen, ob die vom Gesuchsteller eingereichten Unterlagen zum Strafverfahren in der Türkei den revisionsrechtlichen materiellen Anforderungen genügen. Nachträglich erfahrene Tatsachen und aufgefundene Beweismittel im Sinne von Art. 123 Abs. 2 Bst. a BGG bilden nur dann einen Revisionsgrund, wenn sie einerseits rechtserheblich, das heisst geeignet sind, den rechtserheblichen Sachverhalt so zu verändern, dass das Urteil anders ausfällt, und andererseits vor dem in Revision zu ziehenden Entscheid entstanden sind, im früheren Verfahren aber nicht vorgebracht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4.1</w:t>
      </w:r>
    </w:p>
    <w:p>
      <w:r>
        <w:t>Der Gesuchsteller macht im Revisionsgesuch mit Verweis auf das Mitteilungsprotokoll vom (...) und auf den Bericht vom (...) geltend, dass es am (...) in der Stadt B._______ einen Raketenangriff auf ein Fahrzeug der (...) gegeben habe. Dabei seien die bei der Tat anwesenden D._______, E._______ und F._______ festgenommen und im Laufe der Ermittlungen sei festgestellt worden, dass das von E._______ geführte (Tat-)Fahrzeug, in welchem Waffen und Patronen gefunden worden seien, auf seinen (Gesuchsteller) Namen registriert gewesen sei. In der Folge habe die für Terrorstraftaten zuständige Staatsanwaltschaft in B._______ gegen mehrere Tatverdächtige, so auch gegen ihn, eine Strafuntersuchung wegen Mitgliedschaft in einer Terrororganisation eröffnet und einen Haftbefehl erlassen. Die betreffende Ermittlungsakte werde unter strenger Geheimhaltung geführt; das «2. Strafgericht in B._______» habe mit Beschluss vom (...) das Recht seines Verteidigers auf Akteneinsicht eingeschränkt. Bei seiner Rückkehr in die Türkei würden die Ermittlungen gegen ihn fortgesetzt und er würde festgenommen. Es würde ihn höchstwahrscheinlich eine lebenslange Haft erwarten, was seiner Familie grosse Nachteile bringen würde und mit der EMRK unvereinbar wäre.</w:t>
      </w:r>
    </w:p>
    <w:p>
      <w:r>
        <w:rPr>
          <w:b/>
        </w:rPr>
        <w:t>E. 4.2</w:t>
      </w:r>
    </w:p>
    <w:p>
      <w:r>
        <w:t>Weder die solchermassen vorgebrachten Tatsachen noch die vom Gesuchsteller als Beweismittel zum gegen ihn (und andere Angeklagte) eingeleiteten Strafverfahren der türkischen Behörden eingereichten Dokumente sind als rechtserheblich im Sinne von Art. 123 Abs. 2 Bst. a BGG zu qualifizieren. Der Gesuchsteller machte bereits im Rahmen seines ordentlichen Verfahrens (d.h. erstinstanzlich wie auch im daran anschliessenden Beschwerdeverfahren) geltend, dass sein Fahrzeug, welches er einem Freund ausgeliehen habe, zur Durchführung von «Aktionen» verwendet und in der Kontrollzone der Partiya Karkerên Kurdistanê (Arbeiterpartei Kurdistans; PKK) gefunden worden sei, weshalb ein Strafverfahren gegen ihn eingeleitet worden sei (vgl. Urteil D-3600/2017 Bst. B.a). Die revisionsweise vorgebrachten Tatsachen (vgl. E. 4.1 hievor) sind deshalb nicht neu und wurden bereits rechtskräftig gewürdigt; das Gericht erachtete die entsprechende Darstellung des Gesuchstellers als unstimmig (vgl. Urteil D-3600/2017 E. 5.4). Weiter ist festzuhalten, dass auch der im vorliegenden Verfahren eingereichte Gerichtsbeschluss vom (...) (vgl. Sachverhalt Bst. D.a; Beilage 2 hievor) bereits im ordentlichen Beschwerdeverfahren zu den Akten gereicht worden ist (vgl. Urteil D-3600/2017 Bst. D, bezeichnet als «un presunto scritto originale della Repubblica di Turchia, 2a [...], B._______, del (...) con relativa copia della traduzione in lingua tedesca ([di seguito: doc. 4]»). Dabei spielt es keine Rolle, dass die deutschen Übersetzungen dieses Gerichtsbeschlusses nicht vollständig übereinstimmen (vgl. bspw. Titel oben links «2. [...]», bzw. «2. [...]»). Das Gericht hielt in diesem Zusammenhang fest, auch wenn die Echtheit der (im ordentlichen Verfahren eingereichten) Dokumente nicht in Frage gestellt werde und diesen eine gewisse juristische Bedeutung nicht abgesprochen werde, so würden diese keine Elemente enthalten, die auf terroristische Handlungen oder auf die Ausstellung eines Haftbefehls gegen den Gesuchsteller schliessen lassen würden. Das einzige Dokument, welches die Ausführungen des Gesuchstellers stütze, sei das Schreiben seines türkischen Rechtsanwalts (vgl. Urteil D-3600/2017 E. 5.5.2). Gleich verhält es sich mit den hier eingereichten Dokumenten, wobei das Schreiben des türkischen Anwalts (vgl. Sachverhalt Bst. D.a; Beilage 1) - es handelt sich bei diesem und denselben türkischen Rechtsvertreter wie denjenigen im ordentlichen Verfahren genannten - offensichtlich ein blosser Auszug oder eine Auflistung der angeblichen zehn Angeklagten samt damaliger und aktueller Verfahrensnummer darstellt.</w:t>
      </w:r>
    </w:p>
    <w:p>
      <w:r>
        <w:rPr>
          <w:b/>
        </w:rPr>
        <w:t>E. 5</w:t>
      </w:r>
    </w:p>
    <w:p>
      <w:r>
        <w:t>Zusammenfassend ist es dem Gesuchsteller nicht gelungen, relevante Gründe darzulegen, die eine Revision des Beschwerdeurteils D-3600/2017 vom 28. März 2019 rechtfertigen würde. Das Revisionsgesuch vom 15. Januar 2020 ist deshalb abzuweisen, soweit darauf einzutreten ist.</w:t>
      </w:r>
    </w:p>
    <w:p>
      <w:r>
        <w:rPr>
          <w:b/>
        </w:rPr>
        <w:t>E. 6</w:t>
      </w:r>
    </w:p>
    <w:p>
      <w:r>
        <w:t>Der am 24. Januar 2020 angeordnete Vollzugsstopp fällt mit dem vorliegenden Urteil dahin.</w:t>
      </w:r>
    </w:p>
    <w:p>
      <w:r>
        <w:rPr>
          <w:b/>
        </w:rPr>
        <w:t>E. 7</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