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D-4626/2012 vom 12. September 2012</w:t>
      </w:r>
    </w:p>
    <w:p>
      <w:r>
        <w:t>Bundesverwaltungsgericht, 2012-09-12, DE</w:t>
      </w:r>
    </w:p>
    <w:p>
      <w:r>
        <w:rPr>
          <w:b/>
        </w:rPr>
        <w:t xml:space="preserve">Quelle: </w:t>
      </w:r>
      <w:r>
        <w:t>https://mcp.opencaselaw.ch/entscheid/bvger_D-4626_2012</w:t>
      </w:r>
    </w:p>
    <w:p>
      <w:r>
        <w:t>FR: TAF D-4626/2012 du 12 septembre 2012</w:t>
      </w:r>
    </w:p>
    <w:p>
      <w:r>
        <w:t>IT: TAF D-4626/2012 del 12 settembre 2012</w:t>
      </w:r>
    </w:p>
    <w:p>
      <w:pPr>
        <w:pStyle w:val="Heading2"/>
      </w:pPr>
      <w:r>
        <w:t>Regeste</w:t>
      </w:r>
    </w:p>
    <w:p>
      <w:r>
        <w:t>Nichteintreten auf Asylgesuch (Verletzung Mitwirkungspflicht)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gutgeheissen, soweit darauf einzutreten ist.</w:t>
      </w:r>
    </w:p>
    <w:p>
      <w:r>
        <w:rPr>
          <w:b/>
        </w:rPr>
        <w:t>E. 2</w:t>
      </w:r>
    </w:p>
    <w:p>
      <w:r>
        <w:t>Die Verfügung des BFM vom 27. August 2012 wird aufgehoben und die Sache zur weiteren Behandlung an die Vorinstanz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Es wird keine Parteientschädigung ausgerichtet.</w:t>
      </w:r>
    </w:p>
    <w:p>
      <w:r>
        <w:rPr>
          <w:b/>
        </w:rPr>
        <w:t>E. 5</w:t>
      </w:r>
    </w:p>
    <w:p>
      <w:r>
        <w:t>Dieses Urteil geht an den Beschwerdeführer, das BFM und die zuständige kantonale Behörde. Der Einzelrichter: Der Gerichtsschreiber: Martin Zoller Daniel Widmer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