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D-4610/2023 vom 30. August 2023</w:t>
      </w:r>
    </w:p>
    <w:p>
      <w:r>
        <w:t>Bundesverwaltungsgericht, 2023-08-30, DE</w:t>
      </w:r>
    </w:p>
    <w:p>
      <w:r>
        <w:rPr>
          <w:b/>
        </w:rPr>
        <w:t xml:space="preserve">Quelle: </w:t>
      </w:r>
      <w:r>
        <w:t>https://mcp.opencaselaw.ch/entscheid/bvger_D-4610_2023</w:t>
      </w:r>
    </w:p>
    <w:p>
      <w:r>
        <w:t>FR: TAF D-4610/2023 du 30 août 2023</w:t>
      </w:r>
    </w:p>
    <w:p>
      <w:r>
        <w:t>IT: TAF D-4610/2023 del 30 agosto 2023</w:t>
      </w:r>
    </w:p>
    <w:p>
      <w:pPr>
        <w:pStyle w:val="Heading2"/>
      </w:pPr>
      <w:r>
        <w:t>Regeste</w:t>
      </w:r>
    </w:p>
    <w:p>
      <w:r>
        <w:t>Nichteintreten auf Asylgesuch und Wegweisung (Dublin-Verfahren - Art. 31a Abs. 1 Bst. b AsylG)</w:t>
      </w:r>
    </w:p>
    <w:p>
      <w:pPr>
        <w:pStyle w:val="Heading2"/>
      </w:pPr>
      <w:r>
        <w:t>Erwägungen</w:t>
      </w:r>
    </w:p>
    <w:p>
      <w:r>
        <w:rPr>
          <w:b/>
        </w:rPr>
        <w:t>E. 26</w:t>
      </w:r>
    </w:p>
    <w:p>
      <w:r>
        <w:t>Juni 2013 zur Festlegung von Normen für die Aufnahme von Personen, die internationalen Schutz beantragen (sog. Aufnahmerichtlinie) ergeben, dass keine Gründe für die Annahme bestehen,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insbesondere davon auszugehen ist, dass Kroatien auch in seinem Fall bei einer allfälligen Abschiebung in den Herkunfts- oder einen Drittstaat ausserhalb des Asylverfahrens unions- oder völkerrechtskonform handeln wird, wobei diesbezüglich die Richtlinie des Europäischen Parlaments und des Rates 2008/115/EG vom 16. Dezember 2008 über die gemeinsamen Normen und Verfahren in den Mitgliedstaaten zur Rückführung illegal auf- hältiger Drittstaatsangehöriger zur Anwendung gelangt, dass der Beschwerdeführer auch nicht dargetan hat, die ihn bei einer Rück- führung erwartenden Bedingungen in Kroatien seien derart schlecht, dass sie zu einer Verletzung von Art. 4 der EU-Grundrechtecharta, Art. 3 EMRK oder Art. 3 FoK führen könnten, dass er mit seiner im rechtlichen Gehör des Dublin-Gesprächs geäusser- ten allgemeinen Kritik, wonach in Kroatien übermässig viele Flüchtlinge</w:t>
      </w:r>
    </w:p>
    <w:p>
      <w:r>
        <w:t>D-4610/2023 Seite 8 lebten, die medizinische Versorgung dort nicht optimal sei und es an Bil- dungsmöglichkeiten fehle, nicht darzulegen mag, dass Kroatien die ihm dauerhaft gemäss Aufnahmerichtlinie zustehenden minimalen Lebensbe- dingungen vorenthalten würde, dass es ihm bei einer möglichen Einschränkung der ihm zustehenden Auf- nahmebedingungen zudem offensteht, sich an die kroatischen Behörden zu wenden und seine Rechte auf dem Rechtsweg einzufordern (vgl. Art. 26 Aufnahmerichtlinie), dass dies auch gilt in Bezug auf die nur vage geschilderten Bedrohungen durch den Schlepper und die Behauptung, die kroatischen Behörden wür- den ihn nicht schützen können, dass diesbezüglich festzuhalten ist, dass es sich bei Kroatien um einen grundsätzlich funktionierenden Rechtsstaat handelt, der über eine als schutzwillig und schutzfähig geltende Polizeibehörde verfügt, dass sich der Beschwerdeführer in Kroatien bei Übergriffen durch Drittper- sonen an die zuständigen staatlichen Stellen wenden und somit gegebe- nenfalls behördlichen Schutz gegen allfällige Behelligungen durch Privat- personen beanspruchen kann, dass keine konkreten Anhaltspunkte dafür ersichtlich sind, der Beschwer- deführer geriete im Falle einer Rückkehr nach Kroatien in eine existenzielle Notlage, dass der Beschwerdeführer im Dublin-Gespräch hinsichtlich seines allge- meinen Gesundheitszustandes geltend machte, auch in der Schweiz lebe er in Angst vor dem Schlepper und könne sich niemandem anvertrauen, dass der Beschwerdeführer keine medizinischen Unterlagen einreichte oder in Aussicht stellte, weshalb das SEM den medizinischen Sachverhalt als erstellt erachten konnte, dass die gesundheitlichen Beeinträchtigungen psychischer Art, sollten sol- che vorliegen, nicht derart gravierend sein dürften, dass eine Überstellung nach Kroatien für den Beschwerdeführer eine Gesundheitsgefährdung dar- stellen würde, zumal keine Hinweise bestehen, wonach Kroatien seinen Verpflichtungen im Rahmen der Dublin-III-VO in medizinischer Hinsicht in genereller Weise nicht nachkommen könnte und Kroatien grundsätzlich</w:t>
      </w:r>
    </w:p>
    <w:p>
      <w:r>
        <w:t>D-4610/2023 Seite 9 über eine ausreichende medizinische Infrastruktur verfügt (vgl. Urteil des BVGer D-735/2022 vom 28. Februar 2022 E. 6.7.3), dass eine zwangsweise Rückweisung von Personen mit gesundheitlichen Problemen nur ganz ausnahmsweise einen Verstoss gegen Art. 3 EMRK darstellen kann und vorliegend kein Anlass zur Annahme besteht, im Falle seiner Überstellung nach Kroatien drohe ein Verstoss gegen Art. 3 EMRK, dass es dem Beschwerdeführer überdies bei Bedarf zugemutet werden kann, in Kroatien seine Rechte in Bezug auf die medizinische Versorgung und sonstige Unterstützung gemäss Art. 19 Aufnahmerichtlinie gegebe- nenfalls bei den zuständigen staatlichen Stellen geltend zu machen, dass auch keine sonstigen Gründe ersichtlich sind, die gegen die Überstel- lung des Beschwerdeführers nach Kroatien sprechen könnten,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die Überstellung nach Kroatien angeordnet hat, dass die Beschwerde daher abzuweisen ist, dass das Beschwerdeverfahren mit vorliegendem Urteil abgeschlossen ist, weshalb sich der Antrag auf Gewährung der aufschiebenden Wirkung der Beschwerde als gegenstandslos erweist, dass das Gesuch um Gewährung der unentgeltlichen Prozessführung ab- zuweisen ist, da die Begehren – wie sich aus den vorstehenden Erwägun- gen ergibt – als aussichtlos zu bezeichnen waren, weshalb die Vorausset- zungen von Art. 65 Abs. 1 VwVG nicht erfüllt sind, dass bei diesem Ausgang des Verfahrens die Kosten von Fr. 750.– (Art. 1‒ 3 des Reglements vom 21. Februar 2008 über die Kosten und Entschädi-</w:t>
      </w:r>
    </w:p>
    <w:p>
      <w:r>
        <w:t>D-4610/2023 Seite 10 gungen vor dem Bundesverwaltungsgericht [VGKE, SR 173.320.2]) dem Beschwerdeführer aufzuerlegen sind (Art. 63 Abs. 1 VwVG).</w:t>
      </w:r>
    </w:p>
    <w:p>
      <w:r>
        <w:t>(Dispositiv nächste Seite)</w:t>
      </w:r>
    </w:p>
    <w:p>
      <w:r>
        <w:t>D-4610/2023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