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D-4604/2021 vom 29. Oktober 2021</w:t>
      </w:r>
    </w:p>
    <w:p>
      <w:r>
        <w:t>Bundesverwaltungsgericht, 2021-10-29, FR</w:t>
      </w:r>
    </w:p>
    <w:p>
      <w:r>
        <w:rPr>
          <w:b/>
        </w:rPr>
        <w:t xml:space="preserve">Quelle: </w:t>
      </w:r>
      <w:r>
        <w:t>https://mcp.opencaselaw.ch/entscheid/bvger_D-4604_2021</w:t>
      </w:r>
    </w:p>
    <w:p>
      <w:r>
        <w:t>FR: TAF D-4604/2021 du 29 octobre 2021</w:t>
      </w:r>
    </w:p>
    <w:p>
      <w:r>
        <w:t>IT: TAF D-4604/2021 del 29 ottobre 2021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supportés par A._______. Ce montant doit être versé sur le compte du Tribunal dans les 30 jours, dès l'expédition de l'arrêt.</w:t>
      </w:r>
    </w:p>
    <w:p>
      <w:r>
        <w:rPr>
          <w:b/>
        </w:rPr>
        <w:t>E. 4</w:t>
      </w:r>
    </w:p>
    <w:p>
      <w:r>
        <w:t>Dit arrêt est adressé au recourant par l'intermédiaire de son mandataire,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