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D-4604/2013 vom 14. März 2014</w:t>
      </w:r>
    </w:p>
    <w:p>
      <w:r>
        <w:t>Bundesverwaltungsgericht, 2014-03-14, DE</w:t>
      </w:r>
    </w:p>
    <w:p>
      <w:r>
        <w:rPr>
          <w:b/>
        </w:rPr>
        <w:t xml:space="preserve">Quelle: </w:t>
      </w:r>
      <w:r>
        <w:t>https://mcp.opencaselaw.ch/entscheid/bvger_D-4604_2013</w:t>
      </w:r>
    </w:p>
    <w:p>
      <w:r>
        <w:t>FR: TAF D-4604/2013 du 14 mars 2014</w:t>
      </w:r>
    </w:p>
    <w:p>
      <w:r>
        <w:t>IT: TAF D-4604/2013 del 14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Verfahren war im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Die Kompetenz des Bundesverwaltungsgerichts und die zulässigen Rügen bestimmen sich nach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wird unter Wiederholung der bisherigen Vorbringen an der Glaubhaftigkeit der den Beschwerdeführer betreffenden Vorfälle - seiner Festnahme während des Nevroz-Festes 2010, seiner heimlich ausgeführten politischen Tätigkeiten nach dem Tod des G._______, der Razzia anlässlich der Vorbereitungssitzung im (...) 2013 für das Nevroz-Fest und den anschliessenden Begebenheiten bis zur Ausreise im (...) 2013 - festgehalten und eingewendet, nicht nur bestimmte Parteifunktionäre seien exponiert, sondern auch bestimmte Parteiaktivisten. Die beiden ermordeten (...) des Beschwerdeführers seien keine Parteifunktionäre, sondern Aktivisten gewesen. Ihre Ermordung mache ohne Zweifel deutlich, dass nicht nur Personen in exponierter Stellung gefährdet seien. Selbst ein gewöhnlicher Sympathisant könne infolge seiner politischen Aktivitäten ins Visier der Polizei beziehungsweise "unbekannter Täter" geraten und liquidiert werden (...). Diese Argumentation vermag nicht zu überzeugen. Vielmehr ist den Ausführungen in der Vernehmlassung des BFM beizupflichten, wonach auch die auf Beschwerdeebene eingereichte (...) - nichts an dessen unsubstanziierter, undifferenzierter und realitätsfremden Schilderung der Vorfälle, welche in keiner Weise den Eindruck von Selbsterlebtem vermittle, zu ändern vermag. So hat das BFM in der angefochtenen Verfügung eine mögliche Mitgliedschaft des Beschwerdeführers bei der P._______ nicht in Abrede gestellt, jedoch dargelegt, dass dessen geltend gemachte Tätigkeiten nicht den Schluss zuliessen, er sei für die P._______ in exponierter Stellung tätig gewesen beziehungsweise die Behörden seien deswegen an ihm interessiert und er wäre deshalb staatlichen Verfolgungsmassnahmen ausgesetzt. Selbst wenn, wie vom Beschwerdeführer geltend gemacht, bei der Verhaftungswelle im Jahr 2011 Funktionäre oder Mitglieder der P._______ in exponierter Stellung verhaftet worden wären und sich darunter auch ihm bekannte Personen befänden, mache er - so das Bundesamt in schlüssiger Weise weiter - weder geltend, bei dieser Aktion verhaftet oder gesucht worden zu sein, noch dass er seit dem Tod von G._______ am (...) 2010 bis zum (...) 2013 gesucht worden sei. Dies stütze die Annahme des BFM, dass er für die Polizei, den Geheimdienst oder den JITEM keine genügend wichtige Funktion oder Position in der P._______ innegehabt habe, um ein tatsächliches Interesse seitens der Behörden an seiner Person zu begründen. Dies gelte auch für die Vorbringen im Zusammenhang mit dem Tod von G._______, selbst wenn dessen Ableben in einem politischen Kontext gesehen würde. Daran vermöchten die auf Beschwerdeebene eingereichten (...) nichts zu ändern, umso weniger, als darin über die Todesursache von G._______ ebenfalls nur spekuliert werde. Aus diesen gehe zudem hervor, dass G._______ auch (...) gewesen sei, bereits früher Morddrohungen erhalten habe und schon im (...) einmal von unbekannten Personen angegriffen und dabei verletzt worden sei, so dass er sich in medizinische Behandlung ins Spital habe begeben müssen. Bei genauerer Betrachtung würden diese (...) die Frage aufwerfen, weshalb der Beschwerdeführer nie erwähnt habe, dass G._______ nebst (...) auch noch als (...) habe, womit G._______ automatisch in einer exponierten Stellung gewesen wäre. Auch bleibe die Frage offen, weshalb der Beschwerdeführer anlässlich seiner Schilderungen im Zusammenhang mit dem Tod G._______ die Angriffe auf diesen durch unbekannte Personen und die dabei erlittene Verletzung nicht erwähnt habe (...). An dieser zutreffenden Einschätzung der Vorinstanz vermag auch nichts zu ändern, dass der Beschwerdeführer in seiner Replik vom (...) 2013 in pauschaler Weise wiederholt, er sei während vieler Jahre politisch aktiv und ein enger Freund und Mitkämpfer von G._______ gewesen, selbst mehrmals durch Polizisten in Zivil beobachtet und beschattet worden und habe nach dem Mord an G._______ seine politischen Aktivitäten reduzieren und sehr vorsichtig sein müssen. Dasselbe gilt für seine weitere Wiederholung in der Replik, allein in den letzten (...) Jahren seien mehr als (...) Mitglieder, Funktionäre, Sympathisanten und Parteiaktivisten der P._______, welche auf legaler Ebene politisiert hätten, verhaftet worden, wobei er auf einen gleichzeitig in Kopie eingereichten Bericht aus (...) verweist (...). Schliesslich erweist sich auch sein Verweis auf die Protokollstelle (...), womit er deutlich zum Ausdruck gebracht habe, dass (...) G._______ bei der genannten (...) tätig gewesen sei, als unbehelflich (...). So gab er nämlich damals anlässlich der Befragung im EVZ B._______ vom (...) 2013 wörtlich zu Protokoll, "Er [G._______] (...). Demgegenüber erwähnte er die Tätigkeit von G._______ als (...) weder bei der Befragung im EVZ B._______ noch anlässlich der Anhörung vom (...) 2013 mit irgendeinem Wort.</w:t>
      </w:r>
    </w:p>
    <w:p>
      <w:r>
        <w:rPr>
          <w:b/>
        </w:rPr>
        <w:t>E. 5.2</w:t>
      </w:r>
    </w:p>
    <w:p>
      <w:r>
        <w:t>In der Beschwerde wird sodann erneut darauf hingewiesen, dass der Beschwerdeführer aus einer kurdischen Familie stamme, welche seit längerer Zeit aufgrund ihrer politischen Aktivitäten den türkischen Sicherheitskräften bekannt sei, wobei auf ein gleichzeitig eingereichtes Dokument des (...) - verwiesen wird. Aus diesem politischen Umfeld stammend, habe sich der Beschwerdeführer vor ein paar Jahren der P._______ angeschlossen, in deren (...) er langjährig politisch aktiv gewesen sei. In diesem Sinne sei der erforderliche Kausalzusammenhang zwischen der geltend gemachten Festnahme im Jahr 2010 beziehungsweise der Verhaftungswelle im Jahr 2011 und der Ausreise des Beschwerdeführers im (...) 2013 erstellt (...). Auch daraus vermag der Beschwerdeführer nichts zu seinen Gunsten abzuleiten. Diesbezüglich kann, neben den Erwägungen in der angefochtenen Verfügung, welche sich nach einer Überprüfung der Akten als zutreffend erweisen (vgl. Sachverhalt Bst. B), auf die ebenfalls zutreffenden Ausführungen in der Vernehmlassung des BFM vom (...) 2013 verwiesen werden: So habe der Beschwerdeführer erklärt, K._______ sei im Zusammenhang mit seiner politischen Einstellung und Tätigkeit im Jahr 1990 nach N._______ gebracht und dort massiv gefoltert und geschlagen worden, ehe er (...) Monate später nach Hause zurückgekehrt sei, während (...) im Jahr (...) in N._______ getötet worden sei und (...) vor (...) Jahren aus politischen Gründen in die Schweiz geflüchtet seien. Nach den Misshandlungen im Jahr 1990 sei K._______ des Beschwerdeführers aber nicht mehr politisch aktiv gewesen, sondern damals nur noch unter Aufsicht gestanden. Gemäss dem Dokument (...) sei K._______ des Beschwerdeführers, zusammen mit drei weiteren Personen, wegen Unterstützung der Partiya Karkerên Kurdistan (Arbeiterpartei Kurdistans, PKK) im Zeitraum von 1993 bis (...) angeklagt gewesen, wobei keine zusätzlichen Ermittlungen mehr erforderlich seien (...). Der Beschwerdeführer vermag damit aber seine Aussagen, wonach der polizeiliche Druck aus politischen Gründen auf die Familie immer noch anhalte, nicht darzulegen. Entsprechend können diese Vorbringen nicht in einen genügend engen zeitlichen und sachlichen Zusammenhang mit der Ausreise des Beschwerdeführers im (...) 2013 gebracht werden. Hinzu kommt, dass der Beschwerdeführer nach seiner Rückkehr aus H._______ im (...) 2010 bis zum geltend gemachten Vorfall im (...) 2013 in E._______ offensichtlich von den türkischen Behörden nicht behelligt wurde.</w:t>
      </w:r>
    </w:p>
    <w:p>
      <w:r>
        <w:rPr>
          <w:b/>
        </w:rPr>
        <w:t>E. 5.3</w:t>
      </w:r>
    </w:p>
    <w:p>
      <w:r>
        <w:t>Schliesslich wird in der Beschwerde eingewendet, der Beschwerdeführer sei mit an Sicherheit grenzender Wahrscheinlichkeit registriert und es bestehe auch ein Datenblatt über ihn, zumal er seit Jahren politisch aktiv gewesen, bereits festgenommen und auch mit dem Tod bedroht worden sei. Es sei jedoch eine Tatsache, dass die betreffende Person dies nicht schwarz auf weiss beweisen könne. Vor diesem Hintergrund habe der Beschwerdeführer zu Recht gesagt, dass er diesbezüglich nichts wisse (...). In diesem Zusammenhang kann vorweg erneut auf die stringenten Erwägungen in der angefochtenen Verfügung verwiesen werden (vgl. Sachverhalt Bst. B). Zudem führte das BFM in seiner Vernehmlassung zutreffend aus, Anzeigen und Anklagen würden zur Kenntnis gebracht. Auch müsste es gemäss den in der Türkei geltenden Datenschutzrichtlinien möglich sein, selbst oder über einen Anwalt, von den Behörden in Erfahrung zu bringen, ob zur eigenen Person ein Datenblatt bestehe. Entsprechend könne auch jeder Bürger die Löschung eines "veralteten" Datenblattes verlangen, sofern dieses nicht ohnehin von Amtes wegen gelöscht worden sei (...). An dieser Einschätzung vermag der weitere Einwand in der Replik des Beschwerdeführers nichts zu ändern, wonach es zumindest in politischen Fällen nicht zutreffe, dass die türkische Justiz, wie von der Vorinstanz dargestellt, perfekt sei und sich an rechtsstaatliche Prinzipien halte (...). Das Bundesverwaltungsgericht stellt diesbezüglich zum einen fest, dass die Vorinstanz ihre Schlussfolgerung in diesem Kontext vielmehr aufgrund einzelfallspezifischer Fakten - mithin auf den Fall des Beschwerdeführers abstellend - gezogen hat. Anderseits widerspricht nach Ansicht des Gerichts bereits der Umstand, dass der Beschwerdeführer nach seinem Weggang aus E._______ im (...) 2013 nicht mehr erfahren haben will, ob er zu Hause noch gesucht wird, wann J._______ aus der Haft entlassen worden ist und er dessen weiteres Schicksal nicht kannte, der allgemeinen Erfahrung und Logik des Handelns; zudem ist nicht nachvollziehbar, weshalb er sich als angeblich behördlich verfolgte Person offensichtlich auch von der Schweiz aus nicht darum bemühte, über seine eigene Verfolgungssituation etwas in Erfahrung zu bringen, obwohl er über seine hier wohnhaften L._______ in (...) Kontakt mit seiner Familie im Heimatstaat steht (...).</w:t>
      </w:r>
    </w:p>
    <w:p>
      <w:r>
        <w:rPr>
          <w:b/>
        </w:rPr>
        <w:t>E. 5.4</w:t>
      </w:r>
    </w:p>
    <w:p>
      <w:r>
        <w:t>In Würdigung der gesamten Umstände und Vorbringen des Beschwerdeführers erübrigt es sich, auf die weiteren Ausführungen in der Beschwerde, die übrigen Eingaben und die eingereichten Beweismittel im Einzelnen einzugehen, da diese an der vorgenommenen Würdigung des Sachverhalts nichts zu ändern vermögen. Die Vorinstanz hat demnach das Asylgesuch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Die Wegweisung wurde demnach zu Recht angeordnet (Art. 44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eine aktuelle Verfolgungssituation darzutun.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 Der Beschwerdeführer war eigenen Angaben zufolge während (...) Jahren bis zu seiner Ausreise vom (...) 2013 überwiegend in (...) E._______ in der gleichnamigen Provinz wohnhaft (...). Er hat den Primar- und Sekundarschulunterricht während (...) Jahren besucht und im Jahr (...) das F._______ abgeschlossen. In der Folge hat er keinen Beruf erlernt, war jedoch im (...) tätig und bereitete sich während (...) Jahre auf die Universität vor, ohne schliesslich ein Studium zu beginnen (...). Seine nächsten Familienangehörigen (...) sind nach wie vor in E._______ wohnhaft, während eine weitere (...) in C._______ (...) sei (...). Der Beschwerdeführer ist noch jung und leidet - soweit aktenkundig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7.4</w:t>
      </w:r>
    </w:p>
    <w:p>
      <w:r>
        <w:t>Insgesamt hat das Bundesamt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