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D-4603/2010 vom 5. August 2010</w:t>
      </w:r>
    </w:p>
    <w:p>
      <w:r>
        <w:t>Bundesverwaltungsgericht, 2010-08-05, DE</w:t>
      </w:r>
    </w:p>
    <w:p>
      <w:r>
        <w:rPr>
          <w:b/>
        </w:rPr>
        <w:t xml:space="preserve">Quelle: </w:t>
      </w:r>
      <w:r>
        <w:t>https://mcp.opencaselaw.ch/entscheid/bvger_D-4603_2010</w:t>
      </w:r>
    </w:p>
    <w:p>
      <w:r>
        <w:t>FR: TAF D-4603/2010 du 5 août 2010</w:t>
      </w:r>
    </w:p>
    <w:p>
      <w:r>
        <w:t>IT: TAF D-4603/2010 del 5 agosto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5.1</w:t>
      </w:r>
    </w:p>
    <w:p>
      <w:r>
        <w:t>Vorab ist nach Durchsicht der Akten festzuhalten, dass die Rüge des Beschwerdeführers, die Vorinstanz habe den Sachverhalt ungenügend festgestellt, unbegründet ist. Zudem ist darauf hinzuweisen, dass der Beschwerdeführer den Wortlaut sämtlicher Protokolle mit seiner Unterschrift bestätigt hat und sich deshalb seine Aussagen grundsätzlich entgegenhalten lassen muss.</w:t>
      </w:r>
    </w:p>
    <w:p>
      <w:r>
        <w:rPr>
          <w:b/>
        </w:rPr>
        <w:t>E. 5.2</w:t>
      </w:r>
    </w:p>
    <w:p>
      <w:r>
        <w:t>Nach Prüfung der Akten durch das Gericht ist - in Übereinstimmung mit der Vorinstanz - festzustellen, dass die Vorbringen des Beschwerdeführers den Anforderungen an die Glaubhaftigkeit gemäss Art. 7 AsylG nicht standzuhalten vermögen, weshalb diesbezüglich zur Vermeidung von Wiederholungen vorab auf die zutreffenden vorinstanzlichen Erwägungen zu verweisen ist (vgl. Ziffer I; Bst. B. vorstehend). Die Aussagen des Beschwerdeführers sind insbesondere auch deshalb unglaubhaft, da sich die Behauptung des Beschwerdeführers, er habe anlässlich seiner Meldepflicht jeweils das am 14. November 2008 ausgestellte Schreiben des Polizei-Hauptquartiers vorgewiesen (Akten BFM A 9/21, S. 17), schon aufgrund der zeitlichen Einordnung als falsch herausstellt. Zweifel an den Asylvorbringen weckt zudem die Tatsache, dass es der Beschwerdeführer versäumt hat, Unterlagen betreffend die Gerichtsverhandlung oder das Urteil einzureichen, obwohl er von einem Anwalt vertreten worden sein will. Die Ausführungen in der Rechtsmittelschrift sind nicht geeignet, an dieser Einschätzung etwas zu ändern, zumal diese die vielen unsubstanziierten und widersprüchlichen Äusserungen des Beschwerdeführers anlässlich der Befragungen nicht plausibel zu erklären vermögen. Bezüglich der Einwendung in der Rechtsmittelschrift, wonach sich die im angefochtenen Entscheid aufgeführten unsubstanziierten Aussagen oder Widersprüche teilweise durch die Gedächtnisprobleme, die der Beschwerdeführer durch die Misshandlungen in Sri Lanka erlitten habe, erklären liessen, ist festzuhalten, dass diese Behauptung das Gericht nicht überzeugt, zumal gemäss eigenen Aussagen des Beschwerdeführers anlässlich der Anhörung ein Arzt festgestellt hat, dass dies kein Problem sei (Akten BFM A 9/21, S. 15). Die diesbezüglichen Vorbringen in der Beschwerde sind vielmehr als Schutzbehauptung des Beschwerdeführers zu werten, um seine unsubstanziierten und widersprüchlichen Aussagen zu rechtfertigen, zumal beispielsweise das Nichtwissen in Bezug auf die Adresse und den Namen der Familie in Colombo, wo er sich von 2006 bis zur Ausreise im Jahr 2008 aufgehalten hat, nicht allein mit seinem Beruf als Fischer und mit Gedächtnisproblemen erklärbar ist. Zum sinngemäss erhobenen Einwand der fehlenden Bildung des Beschwerdeführers in der Beschwerde ist zu bemerken, dass die Schilderung von Erlebnissen nicht von einer verstandesmässigen Leistung abhängt, sofern sich diese real ereignet haben. Tatsächlich Verfolgte sind unabhängig von der Herkunft und Bildung durchaus in der Lage, ihre Verfolgungssituation zu substanziieren sowie widerspruchsfrei und in schlüssiger Weise herzuleiten. Aufgrund des soeben Ausgeführten ist davon auszugehen, es handle sich bei den geltend gemachten Asylgründen des Beschwerdeführers um ein Sachverhaltskonstrukt, weswegen auch nicht geglaubt werden kann, dass er bei einer Rückkehr in sein Heimatland von der LTTE beziehungsweise von den srilankischen Behörden etwas zu befürchten hätte.</w:t>
      </w:r>
    </w:p>
    <w:p>
      <w:r>
        <w:rPr>
          <w:b/>
        </w:rPr>
        <w:t>E. 5.3</w:t>
      </w:r>
    </w:p>
    <w:p>
      <w:r>
        <w:t>Zusammenfassend ist festzustellen, dass es dem Beschwerdeführer nicht gelungen ist nachzuweisen oder zumindest glaubhaft zu machen, dass er in der Heimat ernsthafte Nachteile gemäss Art. 3 AsylG erlitten hat oder solche bei der Ausreise zu befürchten hatte oder im Falle einer Rückkehr nach Sri Lanka befürchten müsste. Der Beschwerdeführer vermag mit seinen Beschwerdevorbringen zu keiner anderen Betrachtungsweise zu führen, weshalb es sich erübrigt, weiter darauf einzugehen. Er erfüllt somit die Voraussetzungen zur Zuerkennung der Flüchtlingseigenschaft nicht, weshalb die Vorinstanz das Asylbegehren zu Recht und mit zutreffender Begründung abgelehnt hat.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6.1</w:t>
      </w:r>
    </w:p>
    <w:p>
      <w:r>
        <w:t>Der Beschwerdeführer verfügt weder über eine ausländerrechtliche Aufenthaltsbewilligung noch über einen Anspruch auf Erteilung einer solchen. Die Wegweisung wurde demnach zu Recht angeordnet (Art. 44 Abs. 1 AsylG; vgl. Entscheide des Schweizerischen Bundesverwaltungsgerichts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Das Bundesverwaltungsgericht nahm im Urteil BVGE 2008/2 zur Frage der Zumutbarkeit des Wegweisungsvollzugs abgewiesener Asylsuchender tamilischer Ethnie eine Lageanalyse vor. Gemäss der diesbezüglich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E.7.6.1).</w:t>
      </w:r>
    </w:p>
    <w:p>
      <w:r>
        <w:rPr>
          <w:b/>
        </w:rPr>
        <w:t>E. 7.3.3</w:t>
      </w:r>
    </w:p>
    <w:p>
      <w:r>
        <w:t>Seit Erlass des vorstehend zitierten Grundsatzurteils hat sich die Sicherheitssituation in Sri Lanka eher verschlechtert. Die Behörden haben namentlich im Grossraum Colombo die Sicherheitsmassnahmen erneut verschärft. Das Risiko, als Tamile willkürlichen Verhaftungen und Ausweisungen ausgesetzt zu sein, ist weiter gestiegen. Ausserdem haben die Behörden in Bezug auf Personen tamilischer Ethnie offenbar neue Formen der Registrierung eingeführt, da namentlich aus dem Norden und Osten zugezogene Tamilen in Colombo als ernsthaftes Sicherheitsrisiko angesehen werden. Obwohl die srilankische Regierung Ende Mai 2009 den militärischen Sieg über die tamilischen Rebellen verkündet hat, ist im heutigen Zeitpunkt nach wie vor nicht klar, ob der seit rund 26 Jahren schwelende Bürgerkrieg damit tatsächlich zu Ende ist. Ebenfalls offen ist die Frage, was der militärische Sieg der Regierung für die Tamilen konkret bedeutet und wie sich die allgemeine Sicherheits- und Menschenrechtslage in Sri Lanka in Zukunft entwickeln wird (vgl. dazu Urteil des Bundesverwaltungsgerichts D-4125/2006 vom 16. Februar 2010 E. 10.2.3 mit weiteren Hinweisen).</w:t>
      </w:r>
    </w:p>
    <w:p>
      <w:r>
        <w:rPr>
          <w:b/>
        </w:rPr>
        <w:t>E. 7.3.4</w:t>
      </w:r>
    </w:p>
    <w:p>
      <w:r>
        <w:t>Der Beschwerdeführer stammt aus der Ostprovinz von Sri Lanka (Trincomalee), weshalb eine Rückkehr dorthin in Berücksichtigung der nach wie vor herrschenden prekären Sicherheitssituation als nicht zumutbar zu erachten ist.</w:t>
      </w:r>
    </w:p>
    <w:p>
      <w:r>
        <w:rPr>
          <w:b/>
        </w:rPr>
        <w:t>E. 7.3.5</w:t>
      </w:r>
    </w:p>
    <w:p>
      <w:r>
        <w:t>Zu prüfen bleibt demnach, ob für den Beschwerdeführer im Süden des Landes respektive im Grossraum Colombo eine innerstaatliche Aufenthaltsalternative besteht, was das Vorliegen besonders begünstigender Faktoren wie die Existenz eines tragfähigen familiären oder sozialen Beziehungsnetzes sowie die Aussicht auf eine gesicherte Einkommens- und Wohnsituation voraussetzt.</w:t>
      </w:r>
    </w:p>
    <w:p>
      <w:r>
        <w:rPr>
          <w:b/>
        </w:rPr>
        <w:t>E. 7.3.6</w:t>
      </w:r>
    </w:p>
    <w:p>
      <w:r>
        <w:t>Das Bestehen einer solchen innerstaatlichen Aufenthaltsalternative ist vorliegend zu bejahen. Entgegen der Behauptung in der Rechtsmittelschrift ist aufgrund der Akten davon auszugehen, dass der Beschwerdeführer sich vor seiner Ausreise aus Sri Lanka über längere Zeit in Colombo aufgehalten hat (Akten BFM A1/10, S. 2) und dort über ein tragfähiges soziales Beziehungsnetz (Verwandte/Freunde) verfügt, das ihn bei einer Rückkehr dorthin unterstützen kann. Überdies hat Beschwerdeführer eine gute Schulbildung (9. Klasse abgeschlossen), spricht etwas Englisch und hat Berufserfahrung, weshalb anzunehmen ist, er könne sich im Grossraum Colombo niederlassen und sich dort sowohl beruflich als auch wirtschaftlich reintegrieren. Dabei wird er im Bedarfsfall auf die (finanzielle) Unter-stützung seiner Eltern sowie seiner drei Geschwister zählen können, die im Norden und Osten von Sri Lanka leben (vgl. Akten BFM A1/10, S. 3). Schliesslich ist darauf hinzuweisen, dass die Rückkehrhilfe der Schweiz ihm den Wiedereinstieg in seiner Heimat ebenfalls wird erleichtern können (Art. 93 Abs. 1 Bst. d AsylG i.V.m. Art. 74 der Asylverordnung 2 vom 11. August 1999 über Finanzierungsfragen [AsylV 2, SR 142.312]). Aus den Akten ist zudem ersichtlich, dass der 32-jährige Beschwerdeführer nicht unter nennenswerten gesund-heitlichen Problemen leidet. Nach dem Gesagten ist der Vollzug der Wegweisung des Beschwerdeführers als zumutbar zu erachten.</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9. Juli 2010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