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D-4600/2017 vom 29. August 2017</w:t>
      </w:r>
    </w:p>
    <w:p>
      <w:r>
        <w:t>Bundesverwaltungsgericht, 2017-08-29, DE</w:t>
      </w:r>
    </w:p>
    <w:p>
      <w:r>
        <w:rPr>
          <w:b/>
        </w:rPr>
        <w:t xml:space="preserve">Quelle: </w:t>
      </w:r>
      <w:r>
        <w:t>https://mcp.opencaselaw.ch/entscheid/bvger_D-4600_2017</w:t>
      </w:r>
    </w:p>
    <w:p>
      <w:r>
        <w:t>FR: TAF D-4600/2017 du 29 août 2017</w:t>
      </w:r>
    </w:p>
    <w:p>
      <w:r>
        <w:t>IT: TAF D-4600/2017 del 29 agosto 2017</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demnach einzutreten.</w:t>
      </w:r>
    </w:p>
    <w:p>
      <w:r>
        <w:rPr>
          <w:b/>
        </w:rPr>
        <w:t>E. 1.5</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gestützt auf Art. 111a Abs. 1 AsylG vorliegend auf die Durchführung eines Schriftenwechsels verzichtet wurde und der Beschwerdeentscheid nur summarisch zu begründen ist (Art. 111a Abs. 2 AsylG).</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2011/9 E. 5). Demnach enthält sich die Beschwerdeinstanz - sofern sie den Nichteintretensentscheid als unrechtmässig erachtet - einer selbstständigen materiellen Prüfung, hebt die angefochtene Verfügung auf und weist die Sache zu neuer Entscheidung an die Vorinstanz zurück (vgl. BVGE 2014/39 E. 3 m.w.H.). Die Frage nach der Wegweisung und des Vollzugs prüft die Vorinstanz allerdings materiell, weshalb dem Bundesverwaltungsgericht diesbezüglich volle Kognition zukommt.</w:t>
      </w:r>
    </w:p>
    <w:p>
      <w:r>
        <w:rPr>
          <w:b/>
        </w:rPr>
        <w:t>E. 3.1</w:t>
      </w:r>
    </w:p>
    <w:p>
      <w:r>
        <w:t>Gemäss Art. 31a Abs. 1 Bst. a AsylG wird auf Asylgesuche von Personen, die in einen sicheren Drittstaat nach Art. 6a Abs. 2 Bst. b AsylG zurückkehren können, nicht eingetreten.</w:t>
      </w:r>
    </w:p>
    <w:p>
      <w:r>
        <w:rPr>
          <w:b/>
        </w:rPr>
        <w:t>E. 3.2</w:t>
      </w:r>
    </w:p>
    <w:p>
      <w:r>
        <w:t>Das SEM begründete seinen Entscheid damit, dass sich der Beschwerdeführer vor seiner Reise in die Schweiz in Rumänien aufgehalten habe, wo er als Flüchtling anerkannt sei. Rumänien sei vom Bundesrat als sicherer Drittstaat bezeichnet worden. Es bestünden zwar Anzeichen, dass der Beschwerdeführer die Flüchtlingseigenschaft erfülle, da er in Rumänien als Flüchtling anerkannt sei. An deren Feststellung in der Schweiz habe der Beschwerdeführer jedoch kein schützenswertes Interesse, da ihm bereits ein Drittstaat Schutz vor Verfolgung und Rückschiebung gewähre. Auf das Asylgesuch werde daher nicht eingetreten. Die Wegweisung erweise sich als zulässig, da er in Rumänien als anerkannter Flüchtling hinreichenden Schutz vor Rückschiebung geniesse. Der Vollzug sei auch zumutbar, da Rumänien Signatarstaat des Abkommens vom 28. Juli 1951 über die Rechtsstellung der Flüchtlinge (SR 0.142.30) sei, welches Bestimmungen über die öffentliche Fürsorge enthalte. Zudem werde nicht geltend gemacht, dass ihm der Zugang zur Fürsorge grundsätzlich verwehrt worden sei. Dass die staatliche Unterstützung in der Schweiz allenfalls vorteilhafter ausfalle, stehe einer Rückkehr nicht entgegen. Der Vollzug sei ferner möglich, zumal eine entsprechende Zustimmung Rumäniens vorliege. Seine Vorbringen bezüglich Unterkunft und Arbeit müsse er bei den rumänischen Behörden geltend machen. Des Weiteren mache er geltend, dass seine Frau mit seinem Kind schwanger sei und er mit ihr und dem kommenden Kind zusammenleben wolle. Der Begriff der Familie umfasse im schweizerischen Asylgesetz in personeller Hinsicht den Ehepartner oder den Konkubinatspartner und minderjährige Kinder. Gemäss Art. 8 EMRK könne sich eine Person auf den Schutz des Familienlebens berufen, wenn ein Familienmitglied in der Schweiz über ein gefestigtes Aufenthaltsrecht verfüge und es sich dabei um eine tatsächliche, gelebte und gefestigte Beziehung handle. Frau S.M.H. sei in der Schweiz lediglich vorläufig aufgenommen und verfüge somit über kein gefestigtes Aufenthaltsrecht in der Schweiz. Zudem sei die Beziehung zu S.M.H. nicht als dauerhaft im Sinne von Art. 8 EMRK zu werten. Daran könne auch der Umstand, dass Frau S.M.H. ein Kind erwarte, nichts ändern. Einerseits sei die Vaterschaft nicht erhoben und andererseits bestehe noch keine Bindung zwischen ihm und dem ungeborenen Kind. Unter den genannten Umständen sei es ihm zuzumuten, Frau S.M.H. und die Kinder von Rumänien aus im Rahmen von Besuchsaufenthalten in der Schweiz zu besuchen.</w:t>
      </w:r>
    </w:p>
    <w:p>
      <w:r>
        <w:rPr>
          <w:b/>
        </w:rPr>
        <w:t>E. 3.3</w:t>
      </w:r>
    </w:p>
    <w:p>
      <w:r>
        <w:t>Diesen Erwägungen entgegnete der Beschwerdeführer, er könne nicht nach Rumänien zurück, da dort keine klaren Strukturen herrschen würden, es kein funktionierendes Rechtssystem und Asylwesen gebe und er dort Angst um seine Sicherheit habe. Flüchtlinge würden misshandelt und gefoltert. Zudem sei die Ausländerfeindlichkeit ein Problem, mit welchem er auch schon konfrontiert worden sei. Ferner sei das Land von Hunger und Krankheit geplagt, er habe in Armut und Elend gelebt und habe um sein täglich Brot bangen müssen. Schliesslich habe er sich mit Frau S.M.H (N ...) in der Schweiz religiös getraut und führe mit ihr bereits eine Lebensgemeinschaft. Mittlerweile erwarte sie gar ein Kind von ihm. Er habe somit eine enge Beziehung zur Schweiz, weil in der Schweiz seine Frau, seine Verwandtschaft und viele Bekannte und Freunde leben würden. Somit lägen wichtige Gründe gemäss Art. 16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vor, welche die Schweiz verpflichten würden, sein Asylgesuch zu prüfen.</w:t>
      </w:r>
    </w:p>
    <w:p>
      <w:r>
        <w:rPr>
          <w:b/>
        </w:rPr>
        <w:t>E. 3.4</w:t>
      </w:r>
    </w:p>
    <w:p>
      <w:r>
        <w:t>Das SEM ist zu Recht nicht auf das Asylgesuch des Beschwerdeführers eingetreten. Der Beschwerdeführer hat sich in Rumänien aufgehalten und der Bundesrat hat dieses Land als sicheren Drittstaat bezeichnet. Er ist dort als Flüchtling anerkannt, wodurch ihm effektiver Schutz vor Verfolgung gewährt wird. Überdies haben die rumänischen Behörden der Rückübernahme des Beschwerdeführers explizit zugestimmt. Die Voraussetzungen für die Anwendung von Art. 31a Abs. 1 Bst. a AsylG sind daher erfüllt. Entgegen der Ansicht des Beschwerdeführers liegen keine wichtigen Gründe vor, welche die Schweiz "verpflichten" auf sein Asylgesuch einzutreten.</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weder über eine ausländerrechtliche Aufenthaltsbewilligung noch über einen Anspruch auf Erteilung einer solchen. Die Wegweisung wurde demnach zu Recht angeordnet, zumal sich der Beschwerdeführer - wie nachfolgend aufgezeigt wird - nicht auf das Vorliegen einer gefestigten familiären Gemeinschaft berufen kann (Art. 44 AsylG; vgl. BVGE 2013/37 E 4.4; 2009/50 E. 9, je m.w.H.). Vom Beschwerdeführer wird zwar das Vorliegen einer familiären Gemeinschaft geltend gemacht, über die blossen Behauptungen wurden die Vorbringen jedoch nicht substantiiert. So ist zunächst offen, wann der Beschwerdeführer in die Schweiz gelangt ist, ob sodann effektiv eine Verbindung zu Frau S.M.H. besteht und schliesslich ob sie von ihm schwanger ist. Die Familie mit Frau S.M.H. verfügt nicht über die Voraussetzungen, um als tatsächliche, gelebte und gefestigte Beziehung zu gelten. Vor diesem Hintergrund erweist sich das Vorbringen bar jeglicher Substanz. Das Vorliegen einer schützenswerten familiären Gemeinschaft ist damit weder belegt noch glaubhaft gemacht.</w:t>
      </w:r>
    </w:p>
    <w:p>
      <w:r>
        <w:rPr>
          <w:b/>
        </w:rPr>
        <w:t>E. 5.1</w:t>
      </w:r>
    </w:p>
    <w:p>
      <w:r>
        <w:t>Auch die Beurteilung der Vollzugshindernisse gemäss Art. 83 AuG ist nicht zu beanstanden, wobei auf die Ausführungen in der vorinstanzlichen Verfügung verwiesen werden kann. Die Einwände auf Beschwerdeebene vermögen an der Einschätzung nichts zu ändern. Eine Rückschiebung nach Syrien hat der Beschwerdeführer in Rumänien nicht zu befürchten, zumal er dort als Flüchtling anerkannt ist. In Anbetracht dessen, dass offenbar ein geordnetes Verfahren durchgeführt worden ist, in welchem dem Beschwerdeführer die Flüchtlingseigenschaft zuerkannt wurde sowie aufgrund der umgehenden Beantwortung der Anfrage um Rückübernahme, erweist sich der Einwand, Rumänien würde kein funktionierendes Rechtssystem besitzen, als unbegründet. Den Akten sind ferner keine Anhaltspunkte zu entnehmen, die bei einer Rückkehr nach Rumänien auf eine Verletzung der in Art. 3 EMRK statuierten Misshandlungsverbote hinweisen würden. Gleich verhält es sich auch mit der Rüge, die Lage auf dem Arbeitsmarkt sei in Rumänien desolat und das Land sei von Krankheit und Hunger geplagt, zumal diese Einwände ohnehin nicht genügend konkret sind und daher die Feststellung des SEM, Rumänien würde über funktionierende Unterstützungsstrukturen verfügen, nicht umzustossen vermögen. Das SEM hat den Wegweisungsvollzug daher zu Recht für zulässig, zumutbar und möglich erklärt.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7</w:t>
      </w:r>
    </w:p>
    <w:p>
      <w:r>
        <w:t>Aus den obigen Erwägungen ergibt sich, dass die Beschwerde als aussichtlos zu bezeichnen ist und das mit Beschwerde gestellte Gesuch um Gewährung der unentgeltlichen Rechtpflege im Sinne von Art. 65 Abs. 1 VwVG daher abzuweisen ist. Somit sind die Kosten aufgrund des Unterliegens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