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D-4600/2011 vom 14. September 2011</w:t>
      </w:r>
    </w:p>
    <w:p>
      <w:r>
        <w:t>Bundesverwaltungsgericht, 2011-09-14, DE</w:t>
      </w:r>
    </w:p>
    <w:p>
      <w:r>
        <w:rPr>
          <w:b/>
        </w:rPr>
        <w:t xml:space="preserve">Quelle: </w:t>
      </w:r>
      <w:r>
        <w:t>https://mcp.opencaselaw.ch/entscheid/bvger_D-4600_2011</w:t>
      </w:r>
    </w:p>
    <w:p>
      <w:r>
        <w:t>FR: TAF D-4600/2011 du 14 septembre 2011</w:t>
      </w:r>
    </w:p>
    <w:p>
      <w:r>
        <w:t>IT: TAF D-4600/2011 del 14 settembre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vor welchem die beschwerdeführende Partei Schutz sucht (Art. 105 AsylG; Art. 83 Bst. c Ziff. 1 und Bst. d Ziff. 1 des Bundesgerichtsgesetzes vom 17. Juni 2005 [BGG, SR 173.110]).</w:t>
      </w:r>
    </w:p>
    <w:p>
      <w:r>
        <w:rPr>
          <w:b/>
        </w:rPr>
        <w:t>E. 1.2</w:t>
      </w:r>
    </w:p>
    <w:p>
      <w:r>
        <w:t>Die Beschwerde ist nicht in einer Amtssprache des Bundes abge­fasst. Auf die Ansetzung einer Frist zur Beschwerdeverbesserung kann indessen verzichtet werden, da der in Englisch verfassten Beschwerdeeingabe genügend klare, sinngemässe Rechtsbegehren und deren Begründung zu entnehmen sind und ohne Weiteres darüber befunden werden kann.</w:t>
      </w:r>
    </w:p>
    <w:p>
      <w:r>
        <w:rPr>
          <w:b/>
        </w:rPr>
        <w:t>E. 1.3</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Auf die die frist- und - vom sprachlichen Mangel abgesehen - formgerecht ein­gereichte Beschwerde ist einzutreten (Art. 108 Abs. 1 AsylG; Art. 105 AsylG i.V.m. Art. 37 VGG und Art. 48 Abs. 1 und Art. 52 Abs. 1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auf die Durchführung eines Schriftenwechsels verzichtet.</w:t>
      </w:r>
    </w:p>
    <w:p>
      <w:r>
        <w:rPr>
          <w:b/>
        </w:rPr>
        <w:t>E. 4.1</w:t>
      </w:r>
    </w:p>
    <w:p>
      <w:r>
        <w:t>Nach Art. 20 Abs. 2 und 3 AsylG ist die Einreise in die Schweiz zu bewilligen, wenn eine unmittelbare Gefahr für Leib, Leben oder Freiheit aus einem Grund nach Art. 3 AsylG glaubhaft gemacht wird, das heisst im Hinblick auf die Anerkennung als Flüchtling und Asylgewährung, oder aber wenn für die Dauer der näheren Abklärung des Sachverhalts ein weiterer Aufenthalt im Wohnsitz- oder Aufenthaltsstaat oder die Ausreise in einen Drittstaat nicht zumutbar erscheint.</w:t>
      </w:r>
    </w:p>
    <w:p>
      <w:r>
        <w:rPr>
          <w:b/>
        </w:rPr>
        <w:t>E. 4.2</w:t>
      </w:r>
    </w:p>
    <w:p>
      <w:r>
        <w:t>Gemäss Art. 3 AsylG wird ein Ausländer als Flüchtling anerkannt, wenn er in seinem Heimatstaat oder im Land, wo er zuletzt wohnte, wegen seiner Rasse, Religion, Nationalität, Zugehörigkeit zu einer bestimmten sozialen Gruppe oder wegen seiner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4.3</w:t>
      </w:r>
    </w:p>
    <w:p>
      <w:r>
        <w:t>Nach Art. 52 Abs. 2 AsylG kann einer Person, die sich im Ausland befindet, das Asyl verweigert werden, wenn es ihr zugemutet werden kann, sich in einem anderen Staat um Aufnahme zu bemühen. Bei der Anwendung von Art. 52 Abs. 2 AsylG ist in einer Gesamtschau zu prüfen, ob es aufgrund der ganzen Umstände geboten erscheint, dass es gerade die Schweiz ist, die den angesichts der bestehenden Gefährdung erforderlichen Schutz gewähren soll (vgl. Entscheidungen und Mitteilungen der Schweizerischen Asylrekurskommission [EMARK] 2004 Nr. 21 E. 4a S. 139). Dabei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EMARK 1997 Nr. 15 E. 2f S. 131 ff.).</w:t>
      </w:r>
    </w:p>
    <w:p>
      <w:r>
        <w:rPr>
          <w:b/>
        </w:rPr>
        <w:t>E. 5.1</w:t>
      </w:r>
    </w:p>
    <w:p>
      <w:r>
        <w:t>Zunächst ist darauf hinzuweisen, dass das Bundesverwaltungsgericht mit der Vorinstanz einig geht, wonach die Vorbringen der Beschwerdeführerin darauf schliessen lassen, dass ihre Schwierigkeiten mit den eritreischen Behörden in asylrechtlicher Hinsicht relevant sind. Dies einerseits aufgrund der Tatsache, dass ihr Vater seitens der eritreischen Behörden noch heute als ehemaliger politischer Opponent Verfolgungsmassnahmen seitens der eritreischen Regierung ausgesetzt sein dürfte und letztere oftmals auch harte Sanktionen gegen nahe Angehörige von Flüchtlingen verhängt, weshalb ohne Weiteres von einer begründeten Furcht der Beschwerdeführerin vor einer drohenden Reflexverfolgung auszugehen ist, womit sie die Flüchtlingseigenschaft im Sinne von Art. 3 AsylG erfüllt.</w:t>
      </w:r>
    </w:p>
    <w:p>
      <w:r>
        <w:rPr>
          <w:b/>
        </w:rPr>
        <w:t>E. 5.2</w:t>
      </w:r>
    </w:p>
    <w:p>
      <w:r>
        <w:t>Weiter ist zu prüfen, ob es der Beschwerdeführerin zugemutet werden kann, sich in einem anderen Drittstaat um Aufnahme zu bemühen (Art. 20 Abs. 2 und Art. 52 Abs. 2 AsylG). Die Überprüfung der Akten ergibt, dass sich die diesbezüglichen Erwägungen in der angefochtenen Verfügung (vgl. Sachverhalt Bst. G) als zutreffend erweisen. Die Beschwerdeführerin ist im Sudan geboren und lebt dort mittlerweile vom UNHCR als Flüchtling registriert und ohne ernsthafte Probleme seit 25 Jahren. Es mag zwar zutreffen, dass es im Sudan in vereinzelten Fällen zu Entführungen von eritreischen Flüchtlingen beziehungsweise deren Deportation nach Eritrea gekommen ist. Die Tatsache, dass die Beschwerdeführerin seit rund 25 Jahren als Flüchtling im Sudan lebt, spricht im Ergebnis allerdings dagegen, dass hinsichtlich ihrer Person diesbezüglich eine konkrete Gefahr besteht. Soweit die Beschwerdeführerin geltend macht, sie habe seitens des UNHCR in Khartum keine humanitäre Hilfe erhalten, ist darauf hinzuweisen, dass sie wie ihre übrigen Familienangehörigen im Sudan einem Flüchtlingslager zugewiesen worden ist, es jedoch den Akten zufolge vorgezogen hat, sich in Khartum ausserhalb des Flüchtlingslagers aufzuhalten. Es ist ihr deshalb grundsätzlich zuzumuten, sich in das ihr zugewiesene Flüchtlingslager zurückzubegeben und dort um entsprechende Hilfe nachzusuchen. Im vorliegenden Fall tritt hinzu, dass keinerlei Anhaltspunkte für eine besondere Beziehungsnähe der Beschwerdeführerin zur Schweiz bestehen. Vielmehr lebt die gesamte Kernfamilie - ihre Eltern mit den beiden minderjährigen Kindern/Geschwistern D._______ und E._______ (...) sowie ihr volljähriger Bruder F._______ (...) - im Sudan, weshalb sie dort auch über ein tragfähiges soziales Beziehungsnetz verfügt. Eine Abwägung der Gesamtumstände im Sinne von Art. 52 Abs. 2 AsylG führt somit im vorliegenden Fall zum Schluss, dass der Beschwerdeführerin ein Verbleib im Sudan zuzumuten ist.</w:t>
      </w:r>
    </w:p>
    <w:p>
      <w:r>
        <w:rPr>
          <w:b/>
        </w:rPr>
        <w:t>E. 5.3</w:t>
      </w:r>
    </w:p>
    <w:p>
      <w:r>
        <w:t>Zusammenfassend ergibt sich, dass die angefochtene Verfügung Bundesrecht nicht verletzt, den rechtserheblichen Sachverhalt richtig und vollständig feststellt und angemessen ist (Art. 106 Abs. 1 AsylG). Das BFM hat das Asylgesuch der Beschwerdeführerin aus dem Ausland zu Recht abgelehnt und ihr die Einreise in die Schweiz verweigert. Die Beschwerde ist deshalb abzuweisen.</w:t>
      </w:r>
    </w:p>
    <w:p>
      <w:r>
        <w:rPr>
          <w:b/>
        </w:rPr>
        <w:t>E. 6</w:t>
      </w:r>
    </w:p>
    <w:p>
      <w:r>
        <w:t>Bei diesem Ausgang des Verfahrens wären dessen Kosten grundsätzlich der Beschwerdeführerin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