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D-4599/2011 vom 14. September 2011</w:t>
      </w:r>
    </w:p>
    <w:p>
      <w:r>
        <w:t>Bundesverwaltungsgericht, 2011-09-14, DE</w:t>
      </w:r>
    </w:p>
    <w:p>
      <w:r>
        <w:rPr>
          <w:b/>
        </w:rPr>
        <w:t xml:space="preserve">Quelle: </w:t>
      </w:r>
      <w:r>
        <w:t>https://mcp.opencaselaw.ch/entscheid/bvger_D-4599_2011</w:t>
      </w:r>
    </w:p>
    <w:p>
      <w:r>
        <w:t>FR: TAF D-4599/2011 du 14 septembre 2011</w:t>
      </w:r>
    </w:p>
    <w:p>
      <w:r>
        <w:t>IT: TAF D-4599/2011 del 14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EMARK 1997 Nr. 15 E. 2f S. 131 f.).</w:t>
      </w:r>
    </w:p>
    <w:p>
      <w:r>
        <w:rPr>
          <w:b/>
        </w:rPr>
        <w:t>E. 5.1</w:t>
      </w:r>
    </w:p>
    <w:p>
      <w:r>
        <w:t>Zunächst ist darauf hinzuweisen, dass das Bundesverwaltungsgericht mit der Vorinstanz einig geht, wonach die Vorbringen des Beschwerdeführers A._______ darauf schliessen lassen, dass seine Schwierigkeiten mit den eritreischen Behörden in asylrechtlicher Hinsicht relevant sind. Angesichts der Tatsache, dass die eritreischen Behörden oftmals auch harte Sanktionen gegen nahe Angehörige von Flüchtlingen verhängen, ist deshalb ohne Weiteres von einer begründeten Furcht der Ehefrau und der beiden minderjährigen Kinder des Beschwerdeführers A._______ vor einer drohenden Reflexverfolgung auszugehen, weshalb diese ebenfalls die Flüchtlingseigenschaft im Sinne von Art. 3 AsylG erfüllen.</w:t>
      </w:r>
    </w:p>
    <w:p>
      <w:r>
        <w:rPr>
          <w:b/>
        </w:rPr>
        <w:t>E. 5.2</w:t>
      </w:r>
    </w:p>
    <w:p>
      <w:r>
        <w:t>Weiter ist zu prüfen, ob es den Beschwerdeführenden zugemutet werden kann, sich in einem anderen Drittstaat um Aufnahme zu bemühen (Art. 20 Abs. 2 und Art. 52 Abs. 2 AsylG). Die Überprüfung der Akten ergibt, dass sich die diesbezüglichen Erwägungen in der angefochtenen Verfügung (vgl. Sachverhalt Bst. G) als zutreffend erweisen. Der Beschwerdeführer A._______ und dessen Ehefrau befinden sich seit nunmehr bald 30 Jahren im Sudan, wo sie vom UNHCR registriert sind und ohne ernsthafte Probleme leben. Ihre beiden Kinder C._______ und D._______ wurden im Sudan geboren und sind ebenfalls als Flüchtlinge registriert. Es mag zutreffen, dass es im Sudan in vereinzelten Fällen zu Entführungen von ehemaligen Mitgliedern der ELF gekommen ist. Die Tatsache indessen, dass der Beschwerdeführer A._______ seit beinahe 30 Jahren als Flüchtling im Sudan lebt, spricht im Ergebnis allerdings dagegen, dass hinsichtlich seiner Person oder seiner Angehörigen diesbezüglich eine konkrete Gefahr besteht. In diese Richtung weist auch seine Aussage, wonach er am (...) nach einer einwöchigen Inhaftierung unter dem Vorwurf, Geld für die ELF gesammelt zu haben, seitens der sudanesischen Behörden wieder auf freien Fuss gesetzt worden ist. Soweit die Beschwerdeführenden darauf hinweisen, dass sie seitens des UNHCR in Khartum keine humanitäre Hilfe erhalten hätten, ist darauf hinzuweisen, dass sie alle im Sudan einem Flüchtlingslager zugewiesen worden sind, es jedoch den Akten zufolge vorgezogen haben, sich in Khartum ausserhalb des Flüchtlingslagers aufzuhalten. Es ist ihnen deshalb grundsätzlich zuzumuten, sich in das ihnen zugewiesene Flüchtlingslager zurückzubegeben und dort um entsprechende Hilfe nachzusuchen. Im vorliegenden Fall tritt hinzu, dass keinerlei Anhaltspunkte für eine besondere Beziehungsnähe der Beschwerdeführenden zur Schweiz bestehen. Vielmehr lebt die gesamte Kernfamilie - die Eltern, ihre beiden minderjährigen Kinder C._______ und D._______ sowie ihre beiden volljährigen Kinder beziehungsweise Geschwister H._______ (...) und I._______ (...) - im Sudan, weshalb sie dort auch über ein tragfähiges soziales Beziehungsnetz verfügen. Eine Abwägung der Gesamtumstände im Sinne von Art. 52 Abs. 2 AsylG führt somit im vorliegenden Fall zum Schluss, dass den Beschwerdeführenden ein Verbleib im Sudan zuzumuten ist.</w:t>
      </w:r>
    </w:p>
    <w:p>
      <w:r>
        <w:rPr>
          <w:b/>
        </w:rPr>
        <w:t>E. 5.3</w:t>
      </w:r>
    </w:p>
    <w:p>
      <w:r>
        <w:t>Zusammenfassend ergibt sich, dass die angefochtene Verfügung Bundesrecht nicht verletzt, den rechtserheblichen Sachverhalt richtig und vollständig feststellt und angemessen ist (Art. 106 Abs. 1 AsylG). Das BFM hat die Asylgesuche der Beschwerdeführenden aus dem Ausland zu Recht abgelehnt und ihnen die Einreise in die Schweiz verweigert. Die Beschwerde ist deshalb abzuweisen.</w:t>
      </w:r>
    </w:p>
    <w:p>
      <w:r>
        <w:rPr>
          <w:b/>
        </w:rPr>
        <w:t>E. 6</w:t>
      </w:r>
    </w:p>
    <w:p>
      <w:r>
        <w:t>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