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D-4597/2011 vom 4. Februar 2013</w:t>
      </w:r>
    </w:p>
    <w:p>
      <w:r>
        <w:t>Bundesverwaltungsgericht, 2013-02-04, DE</w:t>
      </w:r>
    </w:p>
    <w:p>
      <w:r>
        <w:rPr>
          <w:b/>
        </w:rPr>
        <w:t xml:space="preserve">Quelle: </w:t>
      </w:r>
      <w:r>
        <w:t>https://mcp.opencaselaw.ch/entscheid/bvger_D-4597_2011</w:t>
      </w:r>
    </w:p>
    <w:p>
      <w:r>
        <w:t>FR: TAF D-4597/2011 du 4 février 2013</w:t>
      </w:r>
    </w:p>
    <w:p>
      <w:r>
        <w:t>IT: TAF D-4597/2011 del 4 febbraio 2013</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63 Abs. 1 Bst. b AsylG wird die Flüchtlingseigenschaft aberkannt und das Asyl widerrufen, wenn Gründe nach Art. 1 Bst. C Ziff. 1-6 FK vorliegen. Die erschöpfend aufgezählten Beendigungsklauseln von Art. 1 Bst. C Ziff. 1-6 beruhen auf der Überlegung, (subsidiärer) internationaler Schutz solle nicht mehr gewährt werden, wenn er nicht mehr erforderlich sei. Gemäss Art. 1 Bst. C Ziff. 5 FK fällt namentlich eine Person nicht mehr unter die FK und ihr Flüchtlingsstatus endet, wenn sie nach dem Wegfall der Umstände, auf Grund derer sie als Flüchtling anerkannt worden ist, es nicht mehr ablehnen kann, den Schutz ihres Heimatstaates in Anspruch zu nehmen.</w:t>
      </w:r>
    </w:p>
    <w:p>
      <w:r>
        <w:rPr>
          <w:b/>
        </w:rPr>
        <w:t>E. 3.2</w:t>
      </w:r>
    </w:p>
    <w:p>
      <w:r>
        <w:t>Das BFM aberkannte die Flüchtlingseigenschaft der Beschwerdeführenden und widerrief das ihnen gewährte Asyl gestützt auf Art. 63 Abs. 1 Bst. b AsylG i.V.m. Art. 1 Bst. C Ziff. 5 FK. Der Einschätzung des BFM, wonach sich die objektive Situation in Kosovo seit der Asylgewährung grundlegend verändert habe und nicht mehr derjenigen entspreche, die die Flucht der Beschwerdeführenden Ende 1990 verursacht und zur Asylgewährung im Jahr 1993 geführt habe, ist beizupflichten. Es kann diesbezüglich auf die zutreffenden Ausführungen in der angefochtenen Verfügung verwiesen werden. Der Bundesrat hat Kosovo angesichts der massgeblichen politischen Änderungen mit Beschluss vom 6. März 2009 als verfolgungssicheren Staat bezeichnet. Wird eine solch grundlegende Veränderung in einem Herkunftsland bejaht, so schafft dies grundsätzlich - vorbehältlich der Ausnahmebestimmung von Art. 1 Bst. C Ziff. 5 Abs. 2 FK - für alle aus diesem Land stammenden Personen einen Beendigungsgrund in Bezug auf die Flüchtlingseigenschaft (vgl. Entscheidungen und Mitteilungen der [vormaligen] Schweizerischen Asylrekurskommission [EMARK] 2002 Nr. 8 E. 7 S. 63). Zu prüfen bleibt, ob im Einzelfall Gründe gegen die Aberkennung der Flüchtlingseigenschaft bestehen, d. h. ob die individuelle Verfolgung der betroffenen Person trotz der objektiven Veränderung der Situation fortbesteht. Der Asylgewährung der Beschwerdeführenden lag die damalige Furcht des Beschwerdeführers vor der Einziehung in den Militärdienst sowie dessen Entlassung aus dem Polizeidienst im August 1990 und der damit verbundene Konflikt zugrunde. Eine Verfolgung der Beschwerdeführenden ist im heutigen Zeitpunkt aufgrund dieser früheren, lange zurückliegenden Asylgründe des Beschwerdeführers nicht mehr ersichtlich. Auch mit dem Hinweis, dass es in E._______ immer wieder zu ethnisch motivierten Auseinandersetzungen zwischen Albanern und Serben komme und der Sohn D._______ zusammengeschlagen worden sei, vermögen die Beschwerdeführenden keine sie betreffende konkrete und aktuelle Verfolgung im Sinne von Art. 3 AsylG zu begründen. Im Übrigen ist diesbezüglich - wie bereits erwähnt - vom grundsätzlichen Schutzwillen und der Schutzfähigkeit der staatlichen Behörden auszugehen (vgl. EMARK 2006 Nr. 18). Zwar trifft es zu, dass die Beschaffung neuer heimatlicher Reisepapiere beziehungsweise die Erfassung in den neuen kosovarischen Registern zurzeit mit erheblichem Aufwand verbunden ist, jedoch stellt dies bezüglich der Flüchtlingsaberkennung und des Asylwiderrufs kein Kriterium dar.</w:t>
      </w:r>
    </w:p>
    <w:p>
      <w:r>
        <w:rPr>
          <w:b/>
        </w:rPr>
        <w:t>E. 3.3</w:t>
      </w:r>
    </w:p>
    <w:p>
      <w:r>
        <w:t>Es sprechen auch keine zwingenden Gründe nach Art. 1 Bst. C Ziff. 5 Abs. 2 FK gegen die Beendigung der Flüchtlingseigenschaft beziehungsweise den Widerruf des Asyls der Beschwerdeführenden. Diese Bestimmung sieht vor, dass eine erlittene Vorverfolgung auch nach Wegfall einer zukünftig drohenden Verfolgungsgefahr weiterhin als asylrelevant zu betrachten ist, wenn eine Rückkehr in den früheren Verfolgungsstaat aus triftigen Gründen nicht zumutbar ist (vgl. EMARK 1993 Nr. 31, EMARK 2001 Nr. 3, zuletzt bestätigt in BVGE 2007/31). Als zwingende Gründe in diesem Zusammenhang sind vorab traumatisierende Erlebnisse zu betrachten, die es der betroffenen Person angesichts erlebter schwerwiegender Verfolgungen - insbesondere Folterungen - im Sinne einer Langzeittraumatisierung verunmöglichen, ins Heimatland zurückzukehren (vgl. EMARK 1995 Nr. 16 E. 6d). Die Beschwerdeführenden machen solche Gründe weder geltend, noch ergeben sie sich aus den Akten. Im Übrigen verfügen die Beschwerdeführenden in der Schweiz über eine Niederlassungsbewilligung und der Widerruf des Asyls berührt die ausländerrechtliche Anwesenheitsberechtigung grundsätzlich nicht. Das BFM hat denn auch in der angefochtenen Verfügung weder die Wegweisung noch den Wegweisungsvollzug angeordnet. Der Asylwiderruf bewirkt vielmehr nur, dass die Beschwerdeführenden den diplomatischen Schutz Kosovos in Anspruch zu nehmen haben, ohne aber zu einer dauerhaften Rückkehr in sein Heimatland gezwungen zu sein (vgl. EMARK 1995 Nr. 16 E. 6 f.).</w:t>
      </w:r>
    </w:p>
    <w:p>
      <w:r>
        <w:rPr>
          <w:b/>
        </w:rPr>
        <w:t>E. 3.4</w:t>
      </w:r>
    </w:p>
    <w:p>
      <w:r>
        <w:t>Die Voraussetzungen von Art. 1 Bst. C Ziff. 5 FK sind damit erfüllt. Die vom BFM verfügte Aberkennung der Flüchtlingseigenschaft der Beschwerdeführenden und der Widerruf des Asyls erfolgten somit zu Recht.</w:t>
      </w:r>
    </w:p>
    <w:p>
      <w:r>
        <w:rPr>
          <w:b/>
        </w:rPr>
        <w:t>E. 4</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5</w:t>
      </w:r>
    </w:p>
    <w:p>
      <w:r>
        <w:t>Bei diesem Ausgang des Verfahrens sind die Kosten von Fr. 600.- den Beschwerdeführenden aufzuerlegen (Art. 63 Abs. 1 und 5 VwVG i.V.m. Art. 1-3 des Reglements vom 21. Februar 2008 über die Kosten und Entschädigungen vor dem Bundesverwaltungsgericht [VGKE, SR 173.320.2]). Die Kosten sind durch den am 19. September 2011 in gleicher Höhe geleisteten Vorschuss gedeckt und mit diesem entsprechend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