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D-4595/2011 vom 11. November 2011</w:t>
      </w:r>
    </w:p>
    <w:p>
      <w:r>
        <w:t>Bundesverwaltungsgericht, 2011-11-11, DE</w:t>
      </w:r>
    </w:p>
    <w:p>
      <w:r>
        <w:rPr>
          <w:b/>
        </w:rPr>
        <w:t xml:space="preserve">Quelle: </w:t>
      </w:r>
      <w:r>
        <w:t>https://mcp.opencaselaw.ch/entscheid/bvger_D-4595_2011</w:t>
      </w:r>
    </w:p>
    <w:p>
      <w:r>
        <w:t>FR: TAF D-4595/2011 du 11 novembre 2011</w:t>
      </w:r>
    </w:p>
    <w:p>
      <w:r>
        <w:t>IT: TAF D-4595/2011 del 11 novembre 2011</w:t>
      </w:r>
    </w:p>
    <w:p>
      <w:pPr>
        <w:pStyle w:val="Heading2"/>
      </w:pPr>
      <w:r>
        <w:t>Regeste</w:t>
      </w:r>
    </w:p>
    <w:p>
      <w:r>
        <w:t>Nichteintreten auf Asylgesuch (erneutes Asylverfahren Schweiz)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im Sinne der Erwägungen gutgeheissen.</w:t>
      </w:r>
    </w:p>
    <w:p>
      <w:r>
        <w:rPr>
          <w:b/>
        </w:rPr>
        <w:t>E. 2</w:t>
      </w:r>
    </w:p>
    <w:p>
      <w:r>
        <w:t>Die Verfügung des BFM vom 11. August 2011 wird aufgehoben. Die Akten werden zur Neubeurteilung an die Vorinstanz überwiesen.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Die Parteientschädigung wird auf Fr. 3'200.-- festgesetzt. Das BFM wird an­gewiesen, diesen Betrag der Beschwerdeführerin zu entrichten.</w:t>
      </w:r>
    </w:p>
    <w:p>
      <w:r>
        <w:rPr>
          <w:b/>
        </w:rPr>
        <w:t>E. 5</w:t>
      </w:r>
    </w:p>
    <w:p>
      <w:r>
        <w:t>Dieses Urteil geht an die Beschwerdeführerin, das BFM und die zustän­dige kantonale Behörde. Die vorsitzende 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