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D-4592/2013 vom 8. Januar 2014</w:t>
      </w:r>
    </w:p>
    <w:p>
      <w:r>
        <w:t>Bundesverwaltungsgericht, 2014-01-08, DE</w:t>
      </w:r>
    </w:p>
    <w:p>
      <w:r>
        <w:rPr>
          <w:b/>
        </w:rPr>
        <w:t xml:space="preserve">Quelle: </w:t>
      </w:r>
      <w:r>
        <w:t>https://mcp.opencaselaw.ch/entscheid/bvger_D-4592_2013</w:t>
      </w:r>
    </w:p>
    <w:p>
      <w:r>
        <w:t>FR: TAF D-4592/2013 du 8 janvier 2014</w:t>
      </w:r>
    </w:p>
    <w:p>
      <w:r>
        <w:t>IT: TAF D-4592/2013 del 8 gennaio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Be­schwerde­fürherin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Gesuch damit, dass sie kurdischer Volkszugehörigkeit sei und aus B._______ stamme. Sie habe nie Probleme mit den türkischen Behörden gehabt. Allerdings habe ihre Familie sie gegen ihren Willen mit einem Cousin verheiraten wollen, welchem sie bereits als Kind versprochen worden sei. Ihr Vater habe sie geschlagen und eingesperrt, um seiner Anordnung Nachdruck zu verleihen. Nachdem ihr Vater ihr mitgeteilt habe, dass die Hochzeit im Juni 2012 stattfinden werde, habe sie sich entschieden, die Familie zu verlassen. Zuerst habe sie versucht, sich dem bewaffneten kurdischen Kampf anzuschliessen, sei jedoch nicht aufgenommen worden. Sie habe sich im Januar 2012 nach C._______ zu einer Freundin begeben und sei am 28. März 2012 mit Hilfe von Schleppern an Bord eines Lastwagens ausgereist. Bei einer Rückkehr in die Heimat befürchte sie, aufgrund ihres Verhaltens von Familienangehörigen getötet zu werden. Sie habe von einer Freundin erfahren, dass ihr Vater, ihr Onkel, ihr Cousin und ihre Brüder ihre Mutter beschuldigen würden, und diese geschlagen worden sei. Die Familienangehörigen würden überdies darüber beraten, was mit ihr (der Beschwerdeführerin) geschehen solle. Als Beweismittel reichte die Beschwerdeführerin drei Internetartikel über Ehrenmorde (einer betreffend einen Mord in B._______, einen hinsichtlich einer Bekannten und einen über eine Tötung in Berlin) sowie einen Zeitungsartikel über das Verbot von Zwangsheirat in der Schweiz zu den Akten.</w:t>
      </w:r>
    </w:p>
    <w:p>
      <w:r>
        <w:rPr>
          <w:b/>
        </w:rPr>
        <w:t>E. 4.2</w:t>
      </w:r>
    </w:p>
    <w:p>
      <w:r>
        <w:t>Das BFM liess in der angefochtenen Verfügung die Glaubhaftigkeit der Fluchtgeschichte offen, führte jedoch aus, die Vorbringen seien nicht asylrelevant. Nicht-staatliche Übergriffe seien nur dann beachtlich, wenn der Staat seiner Schutzpflicht nicht nachkomme. Von effektiver Schutzgewährung sei auszugehen, wenn geeignete Massnahmen zur Verhinderung von Verfolgungshandlungen getroffen würden, insbesondere durch wirksame Polizei- und Justizorgane, zu denen der Zugang sichergestellt sei. Die Beschwerdeführerin werde durch ihre Familienangehörigen und somit durch nicht-staatliche Drittpersonen verfolgt. Sie habe bereits in B._______ die Möglichkeit gehabt, bei den zuständigen Behörden oder etwa Frauenhäusern um Schutz zu ersuchen. Dies habe sie jedoch nicht getan. Die türkischen Behörden seien gegenüber solchen Bedrohungslagen sensibilisiert, und es sei von einer wirksamen Schutzinfrastruktur auszugehen. Die Beschwerdeführerin habe auch tatsächlichen Zugang zu diesen Institutionen, indem sie als selbständige Frau über eine gute Ausbildung und berufliche Erfahrung verfüge, wodurch sie sich bei den zuständigen Behörden Gehör verschaffen könne, nötigenfalls mit Hilfe eines Anwalts. Zudem verfüge sie über eine innerstaatliche Schutzalternative, indem sie sich in einer türkischen Grossstadt niederlassen könnte. Zu denken sei etwa an C._______, wo sie bereits vorübergehend bei einer Freundin gelebt habe. Aufgrund ihrer Ausbildung und Berufserfahrung erscheine eine gesellschaftliche und wirtschaftliche Eingliederung möglich. Die subjektive Furcht der Beschwerdeführerin, überall in der Türkei gefährdet zu sein, sei daher objektiv unbegründet. Da die Beschwerdeführerin bisher keine Komplikationen mit dem türkischen Staat gehabt habe und lediglich kurz erfolglos versucht habe, sich dem kurdischen Widerstand anzuschliessen, seien auch keine Nachteile seitens der türkischen Behörden zu befürchten.</w:t>
      </w:r>
    </w:p>
    <w:p>
      <w:r>
        <w:rPr>
          <w:b/>
        </w:rPr>
        <w:t>E. 4.3</w:t>
      </w:r>
    </w:p>
    <w:p>
      <w:r>
        <w:t>Die Beschwerdeführerin hielt diesen Erwägungen entgegen, dass die Vorinstanz die Glaubhaftigkeit der Ausführungen nicht angezweifelt habe und daher von diesem Sachverhalt auszugehen sei. Als Ergänzung sei anzufügen, dass die Beschwerdeführerin während ihres Aufenthalts in C._______ von einem Bekannten vergewaltigt worden sei, worüber sie in der Anhörung nicht habe berichten können. Die Vergewaltigung habe sie erstmals gegenüber ihrem Psychiater erwähnt und habe auch dort nur sehr eingeschränkt darüber berichten können. Dem BFM sei zwar zuzustimmen, dass der türkische Staat in jüngster Zeit vermehrt Anstrengungen zur Bekämpfung häuslicher Gewalt unternommen habe. Dennoch könne nicht von einem effektiven Schutz ausgegangen werden, indem etwa die Gesetze nicht umgesetzt würden. Selbst wenn man von einem genügenden Schutz ausgehen würde, wäre der Beschwerdeführerin dessen Inanspruchnahme nicht zumutbar. Sie sei durch ihre traumatisierenden Erlebnisse schwer gezeichnet, wodurch sie nicht in der Lage wäre, sich effektiven Schutz bei den Behörden zu verschaffen. Dadurch sei auch das Vorliegen einer innerstaatlichen Schutzalternative zu verneinen.</w:t>
      </w:r>
    </w:p>
    <w:p>
      <w:r>
        <w:rPr>
          <w:b/>
        </w:rPr>
        <w:t>E. 4.4</w:t>
      </w:r>
    </w:p>
    <w:p>
      <w:r>
        <w:t>In der Vernehmlassung führte das BFM aus, dass die Wegweisung sowie der Wegweisungsvollzug nicht Prozessgegenstand seien und daher keine Veranlassung bestehe, sich zu den psychischen Problemen der Beschwerdeführerin zu äussern. Der Beschwerdeführerin könne die Inanspruchnahme des staatlichen Schutzes zugemutet werden und ihre diesbezügliche Unterlassung in der Vergangenheit könne nun nicht den staatlichen Behörden angelastet werden. Das staatliche Schutzniveau falle je nach Region unterschiedlich aus, indem im Osten des Landes eher Defizite auszumachen seien, während im Westen und Südwesten die Schutzfähigkeit eindeutig zu bejahen sei. Der Beschwerdeführerin könne aufgrund ihrer Biografie zugemutet werden, sich in anderen Regionen niederzulassen, um dadurch einer Gefährdung in B._______ zu entgehen. Die erst auf Beschwerdeebene geltend gemachte Vergewaltigung stelle ebenfalls einen rein kriminellen Übergriff von privater Seite dar, wovor sie bei staatlichen Stellen Schutz erlangen könne.</w:t>
      </w:r>
    </w:p>
    <w:p>
      <w:r>
        <w:rPr>
          <w:b/>
        </w:rPr>
        <w:t>E. 4.5</w:t>
      </w:r>
    </w:p>
    <w:p>
      <w:r>
        <w:t>In der Replik wurde diesen Ausführungen entgegnet, dass - obwohl der Wegweisungsvollzug nicht Gegenstand des Verfahrens sei - die psychischen Beschwerden dennoch bei der Beurteilung einer innerstaatlichen Schutzalternative entscheidende Bedeutung besässen. So müsse eine alternative Schutzsuche im Lichte der aktuellen Rechtsprechung der privat verfolgten Person auch zumutbar sein. Dies setze voraus, dass der betreffenden Person individuell zugemutet werden könne, sich am Zufluchtsort längerfristig niederzulassen und eine neue Existenz aufzubauen. Das BFM führe aus, dass die Schutzgewährung insbesondere in den Städten der Westtürkei zu bejahen und der Beschwerdeführerin eine dortige Wohnsitznahme zumutbar sei. Dabei werde verkannt, dass die Umsetzung der in der Türkei jüngst erfolgten Sensibilisierung hinsichtlich frauenspezifischer Verfolgung landesweit noch sehr mangelhaft ausfalle, woraus sich trotz anderslautender Gesetze (noch) ein mangelhafter Schutz ergebe. Im Gegensatz zu den in der Beschwerde genannten Berichten vertrauenswürdiger Institutionen belege das BFM sein anderslautendes Fazit in keiner Weise. Auf subjektiver Ebene werde verkannt, dass bei der Beschwerdeführerin ärztlich attestiert davon auszugehen sei, eine Rückkehr in die Türkei würde zu einer Retraumatisierung, verbunden mit einer wesentlichen Verschlechterung des Gesundheitszustandes und einer akuten Suizidgefahr, führen. Die Möglichkeit einer Behandlung im Heimatstaat sei daher zu verneinen. Folglich könne vorliegend auch nicht von einer zumutbaren innerstaatlichen Schutzalternative ausgegangen werden. 5.1 Das BFM kam zu Recht zum Schluss, dass die Beschwerdeführerin die Flüchtlingseigenschaft nicht erfüllt. Einleitend ist zu erwähnen, dass auch durch die Stellungnahme ihres Rechtsvertreters zur teils widersprüchlichen Sachverhaltsdarstellung die Zweifel an deren Glaubhaftigkeit nicht vollständig beseitigt werden konnten. Wie jedoch bereits vom BFM ausgeführt, kann die Glaubhaftigkeit der Asylgründe offenbleiben. Die Beschwerdeführerin machte eine Verfolgung durch nicht-staatliche Akteure geltend, indem sie angab, wegen ihrer Weigerung, ihren Cousin zu ehelichen, wolle ihre Familie sie umbringen. Soweit auf Beschwerdeebene geltend gemacht wurde, den türkischen Behörden fehle es sowohl an Schutzfähigkeit als auch an Schutzwille, die von (häuslicher) Gewalt betroffenen Frauen vor ihren Peinigern zu schüt­zen, ist Folgendes festzuhalten: Die Türkei hat in den vergangenen Jahren kontinuierlich Schritte zur Verbesserung der rechtlichen und gesellschaftlichen Situation der Frauen im Allgemeinen sowie im Besonderen zu deren Schutz vor Über­griffen mit soziokulturellem Hintergrund bis hin zum Ehrenmord unter­nommen. So trat im Jahre 1998 das Familienschutzgesetz Nr. 4320 in Kraft, welches im Jahre 2007 ergänzt wurde und auf Gewaltprävention, Opferschutz sowie Bestrafung von Übergriffen abzielt. Zu diesem Zweck wurden 166 Familiengerichte eingerichtet, von denen derzeit 157 operationell sind; der Zugang zu diesen Gerichten ist für die klagende Partei kostenlos, wie im Übrigen auch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türkischen Strafgesetzbuches gilt Ehrenmord nunmehr als qualifiziertes Tötungsdelikt, welches mit lebenslänglicher Gefängnisstrafe zu ahnden ist (vgl. Urteil des Bundesverwaltungsgerichts D-5327/2009 vom 26. März 2010 E. 6.3.3, mit weiteren Hinweisen). Bereits im Jahre 1990 wurden die offiziell als "Gästehäuser" bekannten Frauenhäuser in der Türkei eröffnet, um Hilfe für Opfer von häuslicher verbaler, emotionaler, wirtschaftlicher, sexueller oder körperlicher Gewalt zu bieten. Die Einrichtungen sind bemüht, die Frauen derart zu stärken, dass sie am Ende wirtschaftliche Unabhängig­keit erlangen können, und helfen auch bei der Lösung psychologischer oder sozialer Probleme, mit denen sich die Hilfesuchenden konfrontiert sehen (vgl. www.deutsch-tuerkische-nachrichten.de &gt; Häusliche Gewalt in der Türkei: Rund 11'000 Frauen in staatlicher Obhut, vom 3. Dezember 2012, aufgerufen am 10. Dezember 2013). Das Ministerium arbeitet am Aus­bau der Infrastruktur, um sicherzustellen, dass in jeder türkischen Provinz mindestens eine dieser Zufluchtstätten vorhanden ist. Mit Stand vom 19. November 2012 betrug die Anzahl der türkischen Frauenhäuser 76 (vgl. a.a.O.). Auf dem 30. Kongress über die Beseitigung jeder Form von Diskriminierung der Frau in der Türkei (CEDAW) sagte Fatma ahin, die türkische Familienministerin, dass die Aktionen gegen diejenigen, die Ge­walt gegen Frauen anwenden würden, verstärkt worden seien (vgl. www.deutsch-tuerkische-nachrichten.de Familienministerin ahin: "Häusliche Gewalt ist schlimmer als Rassismus", vom 3. November 2012, aufgerufen am 10. Dezember 2013). Im Jahr 2011 hat die Türkei eine neue europäische Konvention unterzeichnet, mit welcher der Europarat konkret gegen häusliche Gewalt vorgehen will. Die neue europäische Konvention soll Frauen besser vor Gewalt und häuslichen Übergriffen schützen. Die entsprechende Übereinkunft wurde bei einem Aussenministertreffen des Europarates von 13 Staaten unterzeichnet, unter anderem von Deutschland, Österreich und der Türkei. In dem Dokument verpflichten sich die Staaten erstmals auf ein konkretes Vorgehen gegen häusliche Gewalt (vgl. www.zeit.de &gt; Gesellschaft &gt; Neue Konvention &gt; Europarat be­kämpft Gewalt gegen Frauen, vom 11. Mai 2011, aufgerufen am 10. Dezember 2013). Dass die Türkei die Konvention in den Verhandlungen unter­stützt und unterzeichnet hat, gilt als Erfolg (vgl. a.a.O.). So wird denn auch die Konvention von Menschenrechtlern als bahnbrechend be­zeichnet. Ein Vertreter der Organisation "Human Rights Watch" sagte, es handle sich dabei um das erste, rechtlich verbindliche internationale Dokument, das einen übergreifenden rechtlichen Rahmen zur Bekämp­fung von Gewalt gegen Frauen schaffe (vgl. a.a.O.). Anfang März 2012 wurde in der Türkei ein Gesetz verabschiedet, das Frauen besser vor häuslicher Gewalt schützen soll. Die wichtigste Neuerung dieses Geset­zes ist, dass alle Frauen unabhängig von ihrem Beziehungsstatus An­recht auf Schutz haben. Ausserdem soll die Polizei nun schneller auf Anzeigen und Hilfegesuche durch Betroffene reagieren (vgl. www.big-ber­lin.info &gt; BIG newsletter Ausgabe 33 // Juni 2012 &gt; Türkei &gt; Neues Ge­setz zum Schutz vor häuslicher Gewalt, aufgerufen am 10. Dezember 2013). Ausserdem wurden unter dem Gesetz Nr. 6284 über die Verhütung von Ge­walt gegen Frauen (verabschiedet am 8. März 2012) vorbeugende Massnahmen gegen häusliche Gewalt und Missbrauch geregelt (vgl. www.deutsch-tuerkische-nachrich­ten.de &gt; Häusliche Gewalt in der Türkei: Rund 11'000 Frauen in staatli­cher Obhut, vom 3. Dezember 2012, aufgerufen am 10. Dezember 2013). Zudem wurden unter diesem Gesetz 14 neue Zentren zur Gewaltprävention und Überwachung ( ÖNIM) geschaffen, weitere seien geplant, und bis Ende dieses Jahres sollte jede Provinz über eines dieser Zentren verfügen (vgl. a.a.O.; vgl. zum Ganzen Urteil des Bundesverwaltungsgerichts D-4016/2013 vom 24. September 2013 E. 5.2). 5.2 Auch wenn - wie in der Beschwerde vorgebracht und was an sich nicht zu bestreiten ist - in der Türkei nach wie vor häufig Ehrenmorde geschehen, so bedeutet dies keineswegs, dass die bedrohten Frauen innerfamiliären Übergriffen völlig schutzlos ausgeliefert wären. Vielmehr zeigt sich gemäss vorstehenden Ausführungen, dass die türkischen Behörden entschlossen sind, gegen das Phänomen der Ehrenmorde effektiv vorzugehen und dass sie grundsätzlich auch in der Lage sind, Schutz zu gewähren. Daran vermögen auch die Hinweise auf die beiden in Zeitungsberichten der Jahre 2010 und 2011 genannten Ehrenmorde in B._______ nichts zu ändern, zumal diese keinen direkten Bezug zur Beschwerdeführerin aufweisen. Entgegen den anderslautenden Ausführungen auf Beschwerdeebene ist somit in Übereinstimmung mit der Vorinstanz vom behördlichen Schutzwillen und der behördlichen Schutzfähigkeit auszugehen. Dies trifft insbesondere auf die türkischen Grossstädte zu, so dass die Beschwerdeführerin sich allenfalls dort niederzulassen hätte. 5.3 Zu Recht wird in der Beschwerde darauf hingewiesen, dass die Inanspruchnahme einer staatlichen Schutzinfrastruktur der betroffenen Person auch subjektiv zumutbar sein müsse (vgl. dazu etwa BVGE 2013/5 E. 5.4.3 S. 57; BVGE 2008/4 E. 5.2 S. 38; Entscheidungen und Mitteilungen der Schweizerischen Asylrekurskommission [EMARK] 2006 Nr. 18 E. 10.3.1 und 10.3.2 S. 203). 5.4 Dies ist im vorliegenden Fall zu bejahen. Bei der Beschwerdeführerin handelt es sich um eine selbständige Frau mit guter Ausbildung und beruflicher Erfahrung, wodurch von ihr erwartet werden kann, dass sie sich bei den zuständigen Behörden Gehör verschaffen kann, nötigenfalls mit Hilfe eines Anwalts. An dieser Einschätzung vermögen auch die mit Beschwerde geltend gemachten psychischen Probleme der Beschwerdeführerin nichts zu ändern. Gemäss Arztbericht vom (...) August 2013 leidet sie an einer Posttraumatischen Belastungsstörung (PTBS; ICD-10 F43.1) und einer rezidivierenden depressiven Störung (ICD-10 F33.11). Die Türkei verfügt jedoch über eine medizinische Infrastruktur, welche eine Therapie dieser psychischen Leiden ermöglicht. Auch wenn in der Türkei der Standard der Behandlung von psychisch Erkrankten nicht dem schweizerischen Standard entsprechen dürfte, ist grundsätzlich davon auszugehen, dass es der Beschwerdeführerin möglich wäre, die notwendigen ärztlichen Behandlungen zu erhalten. Psychotherapien können in Universitätsspitälern oder in landesweit tätigen psychiatrischen Einrichtungen, welche über ausgebildetes Personal verfügen, durchgeführt werden (vgl. Urteile des Bundesverwaltungsgerichts D-5797/2012 vom 12. März 2013 E. 12.5.3 und D-1062/2012 vom 10. Januar 2013 E. 11.4.3). Einer allfälligen Retraumatisierung im Zusammenhang mit der Rückkehr in die Heimat könnte mit geeigneter psychiatrischer Betreuung im Zeitraum der Rückkehr begegnet werden. Somit sind keine individuellen Gründe ersichtlich, welche die Inanspruchnahme der staatlichen Schutzinfrastruktur - eventuell verbunden mit der Niederlassung in einer türkischen Grossstadt - als unzumutbar erscheinen lassen würden. 5.5 Zusammenfassend ist festzuhalten, dass die Türkei hinsichtlich der von der Beschwerdeführerin geltend gemachten privaten Verfolgung als schutzwillig und schutzfähig zu erachten ist, und dass der Beschwerdeführerin die Inanspruchnahme dieses Schutzes zumutbar ist. Somit hat das BFM zu Recht die Flüchtlingseigenschaft verneint und das Asylgesuch abgelehnt.</w:t>
      </w:r>
    </w:p>
    <w:p>
      <w:r>
        <w:rPr>
          <w:b/>
        </w:rPr>
        <w:t>E. 6</w:t>
      </w:r>
    </w:p>
    <w:p>
      <w:r>
        <w:t>Wie von der Vorinstanz zu Recht ausgeführt, fällt die Prüfung des Wegweisungs- und Wegweisungsvollzugspunkts vorliegend in die Zuständigkeit der kantonalen Migrationsbehörden, wodurch darüber nicht weiter zu befinden ist.</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Sie sind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