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D-4591/2017 vom 5. November 2020</w:t>
      </w:r>
    </w:p>
    <w:p>
      <w:r>
        <w:t>Bundesverwaltungsgericht, 2020-11-05, DE</w:t>
      </w:r>
    </w:p>
    <w:p>
      <w:r>
        <w:rPr>
          <w:b/>
        </w:rPr>
        <w:t xml:space="preserve">Quelle: </w:t>
      </w:r>
      <w:r>
        <w:t>https://mcp.opencaselaw.ch/entscheid/bvger_D-4591_2017</w:t>
      </w:r>
    </w:p>
    <w:p>
      <w:r>
        <w:t>FR: TAF D-4591/2017 du 5 novembre 2020</w:t>
      </w:r>
    </w:p>
    <w:p>
      <w:r>
        <w:t>IT: TAF D-4591/2017 del 5 novembre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 Aufgrund der Zuweisung des Beschwerdeführers in die Testphase des Verfahrenszentrums B._______ gelangt die Verordnung über die Durchführung von Testphasen zu den Beschleunigungsmassnahmen im Asylbereich (TestV, SR 142.318.1) zur Anwendung (Art. 1 und Art. 4 Abs. 1 TestV).</w:t>
      </w:r>
    </w:p>
    <w:p>
      <w:r>
        <w:rPr>
          <w:b/>
        </w:rPr>
        <w:t>E. 1.3</w:t>
      </w:r>
    </w:p>
    <w:p>
      <w:r>
        <w:t>Die Beschwerde wurde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formelle Rüge des Beschwerdeführers betreffend unvollständiger Sachverhaltsfeststellung infolge Verletzung der behördlichen Untersuchungspflicht seitens der Vorinstanz zu prüfen.</w:t>
      </w:r>
    </w:p>
    <w:p>
      <w:r>
        <w:rPr>
          <w:b/>
        </w:rPr>
        <w:t>E. 3.2</w:t>
      </w:r>
    </w:p>
    <w:p>
      <w:r>
        <w:t>Gemäss Art. 12 VwVG stellt die Behörde den Sachverhalt von Amtes wegen fest und bedient sich nötigenfalls der unter Buchstaben a-e aufgelisteten Beweismittel.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rechtsrelevanten Sachumstände berücksichtigt wurden, unrichtig, wenn der Verfügung ein falscher und aktenwidriger Sachverhalt zugrunde gelegt wird oder Beweise falsch gewürdigt wurden. Die Begründung der Verfügung muss so abgefasst sein, dass die betroffene Person den Entscheid gegebenenfalls sachgerecht anfechten kann (vgl. BGE 136 I 184 E. 2.2.1, 126 I 97 E. 2.b).</w:t>
      </w:r>
    </w:p>
    <w:p>
      <w:r>
        <w:rPr>
          <w:b/>
        </w:rPr>
        <w:t>E. 3.3</w:t>
      </w:r>
    </w:p>
    <w:p>
      <w:r>
        <w:t>Die Rüge des Beschwerdeführers, das SEM hätte aufgrund der behördlichen Untersuchungspflicht abklären müssen, ob der Schwager und die Schwester in J._______ Asylgesuche gestellt und wie die (...) Behörden gegebenenfalls darüber entschieden hätten, vermag nicht zu greifen. Die gesuchstellende Person trägt in Bezug auf ihre Vorbringen die Substanziierungslast (Art. 7 AsylG) und die behördliche Untersuchungspflicht findet ihre Grenzen in der Mitwirkungspflicht der gesuchstellenden Person (Art. 8 AsylG; Art. 13 VwVG). Es obliegt somit dem Beschwerdeführer, eine Asylgesuchstellung seiner Verwandten substanziiert vorzubringen und soweit als möglich zu belegen. Dies hat er nicht getan. Im vorinstanzlichen Verfahren hat er nichts dergleichen geltend gemacht und in der Rechtsmitteleingabe vom 17. August 2017 stellte er lediglich die Vermutung in den Raum, seine Schwester und der Schwager könnten in J._______ um Asyl nachgesucht haben, ohne diese Vermutung näher zu substanziieren und in irgendeiner Art und Weise zu belegen. Dass ihm solches im Verlauf seines nunmehr über dreijährigen Aufenthalts in der Schweiz nicht möglich gewesen wäre (bspw. mangels Kontaktmöglichkeit oder aufgrund Informationsverweigerung), machte der Beschwerdeführer nicht geltend. Vielmehr gab er bei der Anhörung vom 28. Juli 2017 an, von der Schweiz aus telefonischen Kontakt zum Schwager in J._______ zu haben (vgl. vorinstanzliche Akten A20 S. 5 F34). Auch seine Eingabe vom 28. Juli 2020 zeigt, dass er in Verbindung mit seinen Familienangehörigen steht. Von einer Verletzung der Untersuchungspflicht respektive einer unvollständigen Feststellung des Sachverhalts seitens des SEM kann somit nicht gesprochen werden.</w:t>
      </w:r>
    </w:p>
    <w:p>
      <w:r>
        <w:rPr>
          <w:b/>
        </w:rPr>
        <w:t>E. 3.4</w:t>
      </w:r>
    </w:p>
    <w:p>
      <w:r>
        <w:t>Es besteht somit keine Veranlassung, die angefochtene Verfügung aus formellen Gründen aufzuheben. Das entsprechende (Eventual-)Begehren um Rückweisung der Sache an das SEM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Veränderungen der objektiven Situation im Heimat- oder Herkunftsstaat zwischen Ausreise und Asylentscheid sind zugunsten und zulasten der asylsuchenden Person zu berücksichtigen (vgl. BVGE 2010/57 E. 2.6,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 2010/57 E. 2.3).</w:t>
      </w:r>
    </w:p>
    <w:p>
      <w:r>
        <w:rPr>
          <w:b/>
        </w:rPr>
        <w:t>E. 5.1</w:t>
      </w:r>
    </w:p>
    <w:p>
      <w:r>
        <w:t>Das Bundesverwaltungsgericht gelangt nach Prüfung der Akten in Übereinstimmung mit der Vorinstanz zum Schluss, dass der Beschwerdeführer die Flüchtlingseigenschaft gemäss Art. 3 AsylG nicht zu begründen vermag.</w:t>
      </w:r>
    </w:p>
    <w:p>
      <w:r>
        <w:rPr>
          <w:b/>
        </w:rPr>
        <w:t>E. 5.2</w:t>
      </w:r>
    </w:p>
    <w:p>
      <w:r>
        <w:t>Das SEM erachtete die fluchtauslösenden Vorbringen des Beschwerdeführers, wonach er im Jahr 2016 nach der Flucht seines Schwagers, der exilpolitischer Unterstützung der LTTE verdächtigt worden sei, von der Polizei befragt und dabei nach offenbartem Wissen um eine illegale Hanfplantage beinahe erschossen worden sei, als den Anforderungen an die Glaubhaftigkeit gemäss Art. 7 AsylG nicht genügend. In der Tat vermögen die Ausführungen des Beschwerdeführers nicht in einem für die Glaubhaftigkeit genügenden Mass zu überzeugen. Die vom SEM geäusserten Zweifel an den Schilderungen des Beschwerdeführers sind berechtigt. Die Angaben des Beschwerdeführers vermitteln kein stimmiges Bild, sondern weisen erhebliche Unstimmigkeiten auf und blieben trotz zahlreicher Rückfragen bei den Befragungen vom 7. und 28. Juli 2017 über weite Strecken unsubstanziiert. Der Beschwerdeführer vermochte mit seinen Aussagen nicht glaubhaft darzulegen, dass er den geschilderten Nachstellungen seitens der sri-lankischen Behörden ausgesetzt gewesen sein soll. Die Angaben zu seinen polizeilichen Befragungen und der Szene bei den Hanfplantagen sowie dem Auslöser derselben (Flucht des Schwagers) weisen signifikante Widersprüche auf. Zudem sind die Aussagen des Beschwerdeführers, die Polizei von I._______, die für C._______ zuständig sei, sei nach der Flucht des Schwagers zu ihm nach Hause (mithin C._______) gekommen, und die Schwester sei ausgereist, nachdem die Bewohner in ihrem Dorf (C._______) wegen der Polizeibesuche schlecht über sie geredet hätten, nicht mit der Angabe des Beschwerdeführers bei der Anhörung vom 28. Juli 2017 in Einklang zu bringen, wonach er in der fraglichen Zeit gar nicht in C._______, sondern in E._______ gelebt habe. Mit den Ausführungen in den Rechtsmitteleingaben vermag der Beschwerdeführer den von der Vorinstanz zutreffend aufgezeigten Unstimmigkeiten nichts Substanzielles entgegenzusetzen und die Zweifel an der Glaubhaftigkeit seiner Ausführungen nicht auszuräumen beziehungsweise keine gegen ihn gerichtete Verfolgung asylbeachtlichen Ausmasses im Sinne von Art. 3 AsylG seitens der heimatlichen Behörden darzulegen. Soweit er die Widersprüche in seinen Aussagen damit erklären will, dass er bei den Befragungen nervös gewesen sei und Mühe gehabt habe, über das Vorgefallene zu sprechen, vermag dies nicht zu überzeugen. Aus den Protokollen ergeben sich keine Anhaltspunkte für die Annahme, es wäre dem Beschwerdeführer nicht möglich gewesen, den Befragungen zu folgen und seine Fluchtgründe darzulegen. Er nutzte die ihm eingeräumte Gelegenheit zur freien Schilderung seiner Erlebnisse (vgl. A19 S. 4 F31) und machte im Zuge der ihm gestellten Rückfragen ergänzende Angaben. Nach erfolgter Rückübersetzung der erstellten Protokolle bestätigte er unterschriftlich die Richtigkeit und Vollständigkeit der darin enthaltenen Aussagen (vgl. A19 S. 10, A20 S. 17 F147 und S. 18). Auch vermag der Einwand des Beschwerdeführers, die festgestellten Widersprüche würden lediglich auf Versprechern, Missverständnissen oder falschen zeitlichen Berechnungen seinerseits beruhen, nicht zu überzeugen. Die Widersprüche, in die sich der Beschwerdeführer in nahezu allen Bereichen seiner Vorbringen verstrickte, sind erheblich und lassen sich nicht mit blossen Versprechern oder Missverständnissen erklären. Vielmehr passte er seine Angaben jeweils auf entsprechenden Vorhalt der Widersprüche an oder berief sich bei Rückfragen wiederholt - nicht nur hinsichtlich der Verhöre und Ausreisedaten des Schwagers und der Schwester, sondern selbst in Bezug auf seine eigenen Befragungen durch die Polizei - auf eine fehlende Erinnerung. Diese Aussageverhalten vermag nicht zu überzeugen. Selbst wenn der Beschwerdeführer sich bei den Befragungen zu den Asylgründen im Juli 2017 nicht an exakte Daten zu erinnern vermöchte, wäre zu erwarten gewesen, dass er den Ablauf der damals noch nicht weit zurückliegenden Ereignisse und deren zeitliche Relationen kohärent hätte schildern können. Dies vermochte er nicht. Auch seine Berufung auf fehlende Detailkenntnis in Bezug auf die Umstände der Flucht des Schwagers (Bestechung oder Gewaltanwendung) vermag die widersprüchliche Schilderung der Fluchtumstände nicht zu relativieren. Vielmehr ist sein Verhalten, sich nach Vorhalt des entsprechenden Widerspruchs auf Unkenntnis der effektiven Fluchtumstände zu berufen, als Ausflucht zu qualifizieren, hatte er doch zuvor detaillierte Kenntnisse geltend gemacht (Nennung der exakten Höhe des Bestechungsgelds und des Namens des Polizisten, an den der Betrag bezahlt worden sei). Insgesamt betrachtet vermag der Beschwerdeführer, der zuvor nie Probleme mit den Behörden gehabt habe, nicht glaubhaft zu machen, dass er wegen der Flucht seines Schwagers in den Fokus der heimatlichen Behörden geraten wäre und in der geschilderten Art und Weise persönlich verfolgt worden sei. An dieser Einschätzung vermag auch das Vorbringen des Beschwerdeführers in der Eingabe vom 28. Juli 2020, wonach Unbekannte im November 2019 bei seinem Bruder nach ihm gefragt hätten, nichts zu ändern. Eine behördliche (Reflex-)Verfolgung seiner Person asylrechtlich relevanten Ausmasses vermag der Beschwerdeführer mit diesem weder in inhaltlicher noch örtlicher Hinsicht näher substanziierten Vorbringen nicht zu belegen. Laut den Angaben im vorinstanzlichen Verfahren wohne der Bruder nicht mehr im Heimatdorf respektive E._______, sondern sei nach L._______ gezogen.</w:t>
      </w:r>
    </w:p>
    <w:p>
      <w:r>
        <w:rPr>
          <w:b/>
        </w:rPr>
        <w:t>E. 5.3</w:t>
      </w:r>
    </w:p>
    <w:p>
      <w:r>
        <w:t>Es bleibt zu prüfen, ob dem Beschwerdeführer trotz fehlender Vorverfolgung bei einer Rückkehr nach Sri Lanka ernsthafte Nachteile im Sinne von Art. 3 AsylG drohen würden.</w:t>
      </w:r>
    </w:p>
    <w:p>
      <w:r>
        <w:rPr>
          <w:b/>
        </w:rPr>
        <w:t>E. 5.3.1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5.3.2</w:t>
      </w:r>
    </w:p>
    <w:p>
      <w:r>
        <w:t>Der Beschwerdeführer hat sich nach Kriegsende im Mai 2009 noch über sieben Jahre im Heimatland aufgehalten. Gemäss seinen Angaben ist er nicht Mitglied der LTTE gewesen und die vermeintlichen Probleme mit den heimatlichen Behörden vor der Ende 2016 erfolgten Ausreise vermochte er nicht glaubhaft zu machen. Allein die Verwandtschaft mit einem Onkel, der bei den LTTE gewesen und lange vor der Geburt des Beschwerdeführers gestorben sei, und zwei Cousins, die den LTTE angehört hätten, heute aber ohne Probleme in Sri Lanka leben würden, und derentwegen der Beschwerdeführer nie Schwierigkeiten mit den Behörden gehabt habe, lässt nicht auf ein Profil schliessen, das den Beschwerdeführer angesichts der heutigen Situation in Sri Lanka als in asylrechtlich relevanter Weise gefährdete Person erscheinen lassen würde. Aus der tamilischen Ethnie und der mittlerweile vierjährigen Landesabwesenheit des Beschwerdeführers kann ebenfalls keine flüchtlingsrechtlich relevante Gefährdung abgeleitet werden. Mangels persönlichen Bezugs ist auch aufgrund der Präsidentschaftswahl im November 2019 und des Ausgangs der Parlamentswahlen im August 2020 keine begründete Furcht vor zukünftiger Verfolgung des Beschwerdeführers und eine etwaige Verschärfung der Gefährdungssituation zu bejahen. Eine persönlich konkretisierte Gefährdung vermag der Beschwerdeführer diesbezüglich nicht darzulegen. Schliesslich lässt sich auch aus dem allfälligen Einsatz temporärer Reisepapiere keine relevante Gefährdung ableiten (vgl. Referenzurteil E-1866/2015 vom 25. Juli 2016 E. 8.4.4). Insgesamt betrachtet ist somit nicht davon auszugehen, dass dem Beschwerdeführer im Fall einer Rückkehr nach Sri Lanka ernsthafte Nachteile im Sinne von Art. 3 AsylG drohen würden.</w:t>
      </w:r>
    </w:p>
    <w:p>
      <w:r>
        <w:rPr>
          <w:b/>
        </w:rPr>
        <w:t>E. 5.4</w:t>
      </w:r>
    </w:p>
    <w:p>
      <w:r>
        <w:t>Zusammenfassend ist es dem Beschwerdeführer nicht gelungen, die Flüchtlingseigenschaft gemäss Art. 3 AsylG nachzuweisen oder zumindest glaubhaft zu machen. Das SEM hat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nicht gelungen. Auch die allgemeine Menschenrechtssituation in Sri Lanka lässt den Wegweisungsvollzug nicht als unzulässig erscheinen (vgl. Referenzurteil des BVGer E-1866/2015 vom 15. Juli 2016 E. 12.2 sowie statt vieler Urteile des BVGer D-2130/2017 vom 14. Oktober 2020 E. 9.2.3 und E-6769/2019 vom 1. Oktober 2020 E. 8.3). Es ergeben sich aus den Akten auch keine konkreten Hinweise darauf,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Daran vermögen der Regierungswechsel im November 2019 und die seither veränderte Lage in Sri Lanka nichts zu ändern.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Referenzurteil E-1866/2015 E. 13.2). Auch der Wegweisungsvollzug ins "Vanni-Gebiet" gilt als zumutbar (vgl. Urteil des BVGer D-3619/2016 vom 16. Oktober 2017 E. 9.5). Diese Einschätzung bleibt auch nach den aktuellen Entwicklungen in Sri Lanka (vgl. dazu im Einzelnen etwa Urteil des BVGer D-7353/2017 vom 24. Juni 2020 E. 11.3.1) und insbesondere auch nach den Parlamentswahlen vom 5. August 2020 weiterhin zutreffend (vgl. statt vieler Urteil des BVGer D-2130/2017 vom 14. Oktober 2020 E. 9.3.2).</w:t>
      </w:r>
    </w:p>
    <w:p>
      <w:r>
        <w:rPr>
          <w:b/>
        </w:rPr>
        <w:t>E. 7.3.2</w:t>
      </w:r>
    </w:p>
    <w:p>
      <w:r>
        <w:t>Vorliegend sprechen auch keine individuellen Gründe gegen die Zumutbarkeit des Wegweisungsvollzugs. Der Beschwerdeführer stammt seinen Angaben zufolge aus der Nordprovinz Sri Lankas, hat diese erst sieben Jahre nach Beendigung des Bürgerkriegs verlassen und verfügt dort über verwandtschaftliche Kontakte. Zudem handelt es sich bei ihm um einen jungen, alleinstehenden Mann, der keine wesentlichen gesundheitlichen Beschwerden vorbrachte und eigenen Angaben zufolge über eine dreizehnjährige Schulbildung und Arbeitserfahrung als (...) einer (...) verfügt. Es kann somit von ihm auch erwartet werden, dass er sich in wirtschaftlicher Hinsicht wird eingliedern können. Es liegen damit insgesamt keine Gründe für die Annahme vor, der Beschwerdeführer würde bei einer Rückkehr nach Sri Lanka in eine existenzielle Notlage geraten, die als konkrete Gefährdung zu werten wäre.</w:t>
      </w:r>
    </w:p>
    <w:p>
      <w:r>
        <w:rPr>
          <w:b/>
        </w:rPr>
        <w:t>E. 7.3.3</w:t>
      </w:r>
    </w:p>
    <w:p>
      <w:r>
        <w:t>Nach dem Gesagten erweist sich der Vollzug der Wegweisung auch als zumutbar.</w:t>
      </w:r>
    </w:p>
    <w:p>
      <w:r>
        <w:rPr>
          <w:b/>
        </w:rPr>
        <w:t>E. 7.4</w:t>
      </w:r>
    </w:p>
    <w:p>
      <w:r>
        <w:t>Es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grundsätzlich dem Beschwerdeführer aufzuerlegen (Art. 63 Abs. 1 VwVG). Nachdem ihm aber die unentgeltliche Prozessführung gemäss Art. 65 Abs. 1 VwVG gewährt wurde, ist von der Kostenerhebung abzusehen, zumal nicht ersichtlich ist, dass der Beschwerdeführer nicht mehr bedürftig wäre.</w:t>
      </w:r>
    </w:p>
    <w:p>
      <w:r>
        <w:rPr>
          <w:b/>
        </w:rPr>
        <w:t>E. 9.2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vom Gericht in der Ernennungsverfügung vom 13. November 2017 über die in der Regel angewendeten Stundenansätze informiert. Die dem Beschwerdeführer mit Wirkung ab dem 8. November 2017 als unentgeltliche Rechtsbeiständin beigeordnete Rechtsvertreterin reichte keine Kostennote ein. Auf die Nachforderung einer solchen wird verzichtet, da sich der Aufwand für die Eingaben vom 8. November 2017 und 28. Juli 2020 zuverlässig abschätzen lässt (Art. 14 Abs. 2 VGKE). Unter Berücksichtigung der in Betracht zu ziehenden Berechnungsfaktoren (Art. 9-13 VGKE) ist das amtliche Honorar auf insgesamt Fr. 150.-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