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D-4591/2008 vom 17. Oktober 2008</w:t>
      </w:r>
    </w:p>
    <w:p>
      <w:r>
        <w:t>Bundesverwaltungsgericht, 2008-10-17, DE</w:t>
      </w:r>
    </w:p>
    <w:p>
      <w:r>
        <w:rPr>
          <w:b/>
        </w:rPr>
        <w:t xml:space="preserve">Quelle: </w:t>
      </w:r>
      <w:r>
        <w:t>https://mcp.opencaselaw.ch/entscheid/bvger_D-4591_2008</w:t>
      </w:r>
    </w:p>
    <w:p>
      <w:r>
        <w:t>FR: TAF D-4591/2008 du 17 octobre 2008</w:t>
      </w:r>
    </w:p>
    <w:p>
      <w:r>
        <w:t>IT: TAF D-4591/2008 del 17 ottobre 2008</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des Bundesgerichtsgesetzes vom 17. Juni 2005 [BGG, SR 173.110]).</w:t>
      </w:r>
    </w:p>
    <w:p>
      <w:r>
        <w:rPr>
          <w:b/>
        </w:rPr>
        <w:t>E. 1.2</w:t>
      </w:r>
    </w:p>
    <w:p>
      <w:r>
        <w:t>Die Beschwerde ist form- und fristgerecht eingereicht. Der Beschwerdeführer ist durch die Gebührenerhebung in der angefochtenen Verfügung berührt und hat ein schutzwürdiges Interesse an deren Aufhebung beziehungsweise Änderung. Er ist daher zur Einreichung der Beschwerde legitimiert (Art. 6 AsylG i.V.m. Art. 48 Abs. 1 sowie 50 und 52 VwVG). Auf die Beschwerde ist demnach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vorliegende Beschwerdeverfahren beschränkt sich auf die Frage, ob das BFM im Rahmen der angefochtenen Verfügung zu Recht eine Gebühr für die Zustellung der Aktenkopien erhoben hat. Es geht mithin nicht um die Frage der Akteneinsicht als solche, da diese dem Beschwerdeführer vom BFM antragsgemäss gewährt wurde.</w:t>
      </w:r>
    </w:p>
    <w:p>
      <w:r>
        <w:rPr>
          <w:b/>
        </w:rPr>
        <w:t>E. 3.2</w:t>
      </w:r>
    </w:p>
    <w:p>
      <w:r>
        <w:t>Das Recht auf Einsicht in die Verfahrensakten bildet einen wichtigen Teilaspekt des verfassungsmässigen Anspruchs auf das rechtliche Gehör (Art. 29 Abs. 2 der Bundesverfassung der Schweizerischen Eidgenossenschaft vom 18. April 1999 [BV, SR 101]; vgl. ausserdem Art. 29-33 VwVG). Hinsichtlich der Frage der Kostenpflicht respektive Kostenlosigkeit der Akteneinsicht sieht Art. 26 Abs. 2 VwVG vor, dass die verfügende Behörde eine Gebühr für die Einsichtnahme in die Akten einer erledigten Sache beziehen kann, wobei der Bundesrat die Bemessung der Gebühr regelt. Stützt sich die Auskunft hingegen auf das Bundesgesetz vom 19. Juni 1992 über den Datenschutz (DSG, SR 235.1), so ist diese in der Regel kostenlos (Art. 8 Abs. 5 DSG), ausser die Voraussetzungen eines Ausnahmetatbestandes im Sinne von Art. 2 Abs. 1 der Verordnung vom 14. Juni 1993 zum Bundesgesetz über den Datenschutz (VDSG, SR 235.11) wären gegeben (Auskünfte in den zwölf Monaten vor dem Gesuch bereits mitgeteilt und kein schutzwürdiges Interesse an erneuter Auskunftserteilung oder Auskunftserteilung mit besonders grossem Arbeitsaufwand verbunden). Akten eines abgeschlossenen Asylverfahrens fallen in den Geltungsbereich des DSG (Art. 2 Abs. 2 Bst. c DSG). Die Bestimmungen dieses Gesetzes sind nach abgeschlossenem Asylverfahren grundsätzlich uneingeschränkt anwendbar und gehen insofern den Regeln von Art. 26-28 VwVG betreffend Akteneinsicht, die während des Asylverfahrens massgeblich sind, als lex specialis vor (vgl. dazu den nach wie vor gültigen Grundsatzentscheid der ARK in Entscheidungen und Mitteilungen der ARK [EMARK] 1997 Nr. 7 E. 2.a f.).</w:t>
      </w:r>
    </w:p>
    <w:p>
      <w:r>
        <w:rPr>
          <w:b/>
        </w:rPr>
        <w:t>E. 3.3</w:t>
      </w:r>
    </w:p>
    <w:p>
      <w:r>
        <w:t>Im Sinne einer Vorbemerkung ist festzuhalten, dass das vom Beschwerdeführer erwähnte Wiedererwägungsgesuch vom 25. Juni 2008 hinsichtlich der Gewährung des Asylrechts auf die sich vorliegend stellende Frage der Rechtmässigkeit der Gebührenerhebung nicht von Belang ist, da dieses erst nach Erlass der angefochtenen Verfügung der Vorinstanz vom 10. Juni 2008 beim BFM eingereicht wurde. In casu ist die Situation im Zeitpunkt des Entscheides des BFM vom 10. Juni 2008 massgebend. Dem BFM ist beizupflichten, wonach das Asylverfahren des Beschwerdeführers im Zeitpunkt des Erlasses der angefochtenen Verfügung am 10. Juni 2008 abgeschlossen war. Dessen Asylgesuch wurde mit rechtskräftiger Verfügung des BFM vom 28. November 2005 abgelehnt und die Wegweisung aus der Schweiz angeordnet. Die vorerst gewährte vorläufige Aufnahme wurde mit ebenfalls in Rechtskraft erwachsener Verfügung des BFM vom 13. Februar 2006 aufgehoben und der Wegweisungsvollzug angeordnet. Der Argumentation des Beschwerdeführers, wonach durch die Erhebung der Individualbeschwerde gemäss Art. 34 EMRK beim EGMR gegen den Entscheid des Bundesgerichts vom 20. März 2008 betreffend Verlängerung der Ausschaffungshaft keine erledigte Sache, sondern wieder ein hängiges Verfahren vorliege, kann nicht gefolgt werden. Die Beschwerde beim EGMR bezieht sich - wie der Beschwerdeführer selbst ausführt - einzig auf die Frage der Ausschaffungshaft und deren Verhältnismässigkeit, nicht jedoch auf den bereits rechtskräftig festgestellten, ausländerrechtlichen Status des Beschwerdeführers. Da es sich daher vorliegend um die Akteneinsicht in ein abgeschlossenes Asylverfahren handelt, richtet sich diese gemäss obigen Ausführungen nicht nach dem VwVG, sondern nach dem DSG. Die Akteneinsicht war somit grundsätzlich kostenlos zu erteilen (Art. 8 Abs. 5 DSG), ausser es hätte einer der Ausnahmetatbestände im Sinne von Art. 2 Abs. 1 VDSG vorgelegen. Dies ist nicht der Fall. Aus den Akten ergibt sich weder, dass dem Beschwerdeführer in den zwölf Monaten vor seinem Akteneinsichtsgesuch vom 30. Mai 2008, ergänzt am 9. Juni 2008, die gewünschten Akten bereits zugestellt worden wären (Art. 2 Abs. 1 Bst. a VDSG), noch dass die Auskunftserteilung für das BFM mit einem besonders grossen Arbeitsaufwand verbunden gewesen wäre (Art. 2 Abs. 1 Bst. b VDSG). Die Akten hätten dem Beschwerdeführer somit kostenlos zugestellt werden müssen.</w:t>
      </w:r>
    </w:p>
    <w:p>
      <w:r>
        <w:rPr>
          <w:b/>
        </w:rPr>
        <w:t>E. 4</w:t>
      </w:r>
    </w:p>
    <w:p>
      <w:r>
        <w:t>Aus dem Gesagten ergibt sich, dass das BFM dem Beschwerdeführer für die gewährte Akteneinsicht zu Unrecht eine Gebühr auferlegt hat. Die Beschwerde ist daher gutzuheissen. Die angefochtene Verfügung ist hinsichtlich der Gebührenerhebung aufzuheben und die Vorinstanz anzuweisen, dem Beschwerdeführer den bezahlten Betrag von insgesamt Fr. 69.60 zurückzuerstatten.</w:t>
      </w:r>
    </w:p>
    <w:p>
      <w:r>
        <w:rPr>
          <w:b/>
        </w:rPr>
        <w:t>E. 5.1</w:t>
      </w:r>
    </w:p>
    <w:p>
      <w:r>
        <w:t>Bei diesem Ausgang des Verfahrens sind keine Kosten zu erheben (vgl. Art. 63 Abs. 1 und 2 VwVG).</w:t>
      </w:r>
    </w:p>
    <w:p>
      <w:r>
        <w:rPr>
          <w:b/>
        </w:rPr>
        <w:t>E. 5.2</w:t>
      </w:r>
    </w:p>
    <w:p>
      <w:r>
        <w:t>Dem vertretenen Beschwerdeführer ist angesichts seines Obsiegens in Anwendung von Art. 64 VwVG und Art. 16 Abs. 1 Bst. a VGG i.V.m Art. 7 Abs. 1 des Reglements vom 21. Februar 2008 über die Kosten und Entschädigungen vor dem Bundesverwaltungsgericht (VGKE, SR 173.320.2) eine Entschädigung für die ihm notwendigerweise erwachsenen Parteikosten zuzusprechen. Da der Rechtsvertreter keine Kostennote einreichte und der Vertretungsaufwand auf Grund der Akten zuverlässig abschätzbar ist, ist die Parteientschädigung von Amtes wegen und unter Berücksichtigung der massgeblichen Bemessungsfaktoren (vgl. Art. 8 ff. VGKE) auf pauschal Fr. 1'500.-- (inkl. Mehrwertsteuer) festzusetzen.</w:t>
      </w:r>
    </w:p>
    <w:p>
      <w:r>
        <w:rPr>
          <w:b/>
        </w:rPr>
        <w:t>E. 5.3</w:t>
      </w:r>
    </w:p>
    <w:p>
      <w:r>
        <w:t>Der rubrizierte Rechtsvertreter wurde dem Beschwerdeführer mit Zwischenverfügung vom 28. Juli 2008 als unentgeltlicher Rechtsbeistand beigeordnet (vgl. Bst. I hievor). Mit der Parteientschädigung an den Beschwerdeführer sind die Kosten der Vertretung vollumfänglich abgegolten. Die Ausrichtung eines Anwaltshonorars an den amtlich bestellten Vertreter fällt somit nicht in Betracht.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