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D-458/2015 vom 4. Juli 2016</w:t>
      </w:r>
    </w:p>
    <w:p>
      <w:r>
        <w:t>Bundesverwaltungsgericht, 2016-07-04, FR</w:t>
      </w:r>
    </w:p>
    <w:p>
      <w:r>
        <w:rPr>
          <w:b/>
        </w:rPr>
        <w:t xml:space="preserve">Quelle: </w:t>
      </w:r>
      <w:r>
        <w:t>https://mcp.opencaselaw.ch/entscheid/bvger_D-458_2015</w:t>
      </w:r>
    </w:p>
    <w:p>
      <w:r>
        <w:t>FR: TAF D-458/2015 du 4 juillet 2016</w:t>
      </w:r>
    </w:p>
    <w:p>
      <w:r>
        <w:t>IT: TAF D-458/2015 del 4 luglio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du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A._______ a qualité pour recourir (art. 48 al. 1 PA). Présenté dans la forme (art. 52 al. 1 PA) et les délais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aussi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Lors de l'audition sommaire, le recourant a nié avoir eu des activités politiques et déclaré n'avoir jamais rencontré de problèmes avec les autorités avant son arrestation. Ensuite, au niveau de l'audition sur les motifs, il a fait valoir un engagement politique d'une année, lors duquel il aurait distribué des tracts pour un groupe d'étudiants activistes. Le recourant explique cette autre version par la non-assimilation de son engagement à des activités politiques comme l'affiliation à un parti politique. Cette explication est illogique, dans la mesure où, pour tout individu disposant d'une intelligence égale à celle du recourant, la nature politique d'activités ne dépend aucunement de l'appartenance ou non à un parti politique de l'auteur de ces activités. Les déclarations du recourant sont par ailleurs stéréotypées et révèlent un récit construit pour les besoins de la cause. Il a notamment déclaré que la police des moeurs avait insulté sa copine, prétextant que celle-ci n'était pas habillée correctement. Il l'aurait alors défendue et une bagarre aurait éclaté. Les policiers l'auraient rapidement maîtrisé, cagoulé puis conduit dans un endroit inconnu, où on lui aurait fait subir des maltraitances pour obtenir de lui des informations sur ses camarades. L'on ne comprend notamment pas pourquoi sa compagne n'aurait pas pris la précaution de se voiler correctement, surtout dans une situation où ils se savaient recherchés par les autorités. A cela s'ajoute que la réaction disproportionnée de la police des moeurs, telle que décrite, ne saurait uniquement s'expliquer par un voile mal ajusté. Il est encore moins vraisemblable que le recourant se soit bagarré avec les agents de la police des moeurs, sachant qu'il risquait non seulement de lourdes sanctions, pour ces agissements-là, mais aussi, ici encore, d'être, lui-même et sa compagne, identifiés comme personnes recherchées par les autorités. Contrairement à ses déclarations des 22 juin 2012 et 3 septembre 2014, le recourant a allégué, lors d'une interview dans "(...)" du (...), p. 14, avoir quitté son pays d'origine parce qu'il ne supportait plus de vivre dans un régime dictatorial, mais non pas du fait de persécutions. N'ayant pas obtenu de visa, il aurait alors entrepris un périlleux périple. C'est dire que les motifs d'asile antérieurs à la fuite dont l'intéressé s'est prévalu ne satisfont clairement pas aux exigences légales de haute probabilité requises par l'art. 7 LAsi.</w:t>
      </w:r>
    </w:p>
    <w:p>
      <w:r>
        <w:rPr>
          <w:b/>
        </w:rPr>
        <w:t>E. 4</w:t>
      </w:r>
    </w:p>
    <w:p>
      <w:r>
        <w:t>Le recourant invoque également des motifs subjectifs postérieurs à la fuite (art. 54 LAsi) et la crainte fondée de persécutions futures par les autorités iraniennes, au sens de l'art. 3 LAsi. Il fait en particulier valoir son engagement politique actif au sein de l'(...).</w:t>
      </w:r>
    </w:p>
    <w:p>
      <w:r>
        <w:rPr>
          <w:b/>
        </w:rPr>
        <w:t>E. 4.1</w:t>
      </w:r>
    </w:p>
    <w:p>
      <w:r>
        <w:t>En présence de motifs subjectifs postérieurs à la fuite,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(cf. ATAF 2010/44 consid. 3.5. p. 621 et réf. cit., ATAF 2009/29 consid. 5.1 p. 376 s., ATAF 2009/28 consid. 7.1 p. 352; JICRA 2006 n° 1 consid. 6.1 p. 10 et réf. cit.; WALTER STÖCKLI, Asyl, in: Ausländerrecht, Handbücher für die Anwaltspraxis, Band VIII, 2ème éd., Bâle 2009, p. 542, ch. 11.55 ss; NGUYEN, Droit public des étrangers, Berne 2003, p. 448 ss).</w:t>
      </w:r>
    </w:p>
    <w:p>
      <w:r>
        <w:rPr>
          <w:b/>
        </w:rPr>
        <w:t>E. 4.2</w:t>
      </w:r>
    </w:p>
    <w:p>
      <w:r>
        <w:t>Il est certes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ATAF 2009/28 consid. 7.4.3). Ne représente par exemple pas une telle menace le requérant qui, non 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consid. 7.4.3 ).</w:t>
      </w:r>
    </w:p>
    <w:p>
      <w:r>
        <w:rPr>
          <w:b/>
        </w:rPr>
        <w:t>E. 4.2.1</w:t>
      </w:r>
    </w:p>
    <w:p>
      <w:r>
        <w:t>Le recourant, membre actif de l'(...), a notamment produit plusieurs clichés photographiques où il apparaît comme participant à des manifestations, en Suisse, contre le régime iranien, ainsi qu'un CD contenant des extraits d'une émission radio, "(...)", où il est intervenu en tant que présentateur et la copie d'un programme radiophonique publié sur le site Internet de l'(...). Néanmoins, comme l'a relevé le SEM dans sa décision du 18 décembre 2014, les activités de l'intéressé décrites ci-dessus ne suffisent pas à établir un risque sérieux de mise en danger de sa personne en cas de retour en Iran. Aucun élément du dossier ne permet en effet de retenir que les activités déployées en Suisse par le recourant aient spécialement attiré l'attention des autorités iraniennes. En outre, bien qu'il soit reconnaissable sur plusieurs photographies versées au dossier, il n'est pas exposé dans une plus large mesure que les autres participants figurant sur ces clichés, au point d'attirer spécialement l'attention sur lui. En effet, même si les clichés ont été publiés sur le site Internet de l'(...), aucune indication nominative des participants ou même de descriptif provocant n'y figure. Il en va de même pour la photographie prise lors de la prise de parole du recourant au courant d'une manifestation le (...) devant le (...). L'attestation établie par le président de l'(...), datée du 14 janvier 2015, indique que le recourant est actif, depuis (...) 2014, au sein de l'(...) et qu'il est l'animateur d'une radio d'opposition. Le fait qu'il assumerait la responsabilité de rédacteur francophone de la revue mensuelle de l'(...) depuis (...) 2015 et qu'il soit cité comme personne de contact responsable pour la ville de E._______ sur la dernière page ne suffit pas à lui donner un profil décisif sous l'angle de la qualité de réfugié. Les différents rapports de l'OSAR cités, les articles de presse, ainsi que les documents émanant d'organismes internationaux produits, traitant en particulier de la répression touchant les dissidents actifs politiquement à l'étranger ne concernent pas personnellement l'intéressé et ne permettent dès lors pas de modifier l'appréciation qui précède. S'ajoute encore à cela que l'arrestation et les recherches dont il aurait fait l'objet avant de quitter son pays ont été considérées comme invraisemblables pour les motifs retenus au considérant 3 ci-dessus, de sorte qu'il n'y a pas lieu d'admettre qu'il était profilé comme un opposant du régime en place au moment de sa fuite.</w:t>
      </w:r>
    </w:p>
    <w:p>
      <w:r>
        <w:rPr>
          <w:b/>
        </w:rPr>
        <w:t>E. 4.2.2</w:t>
      </w:r>
    </w:p>
    <w:p>
      <w:r>
        <w:t>L'intéressé se réfère encore à l'arrêt de la CourEDH n° 52077/10, S.F. et autres c. Suède du 15 mai 2012, invoquant que le risque d'être persécuté lors d'un retour en Iran a été admis non seulement pour les leaders d'organisations politiques, mais aussi pour des personnes ayant manifesté ou se trouvant en opposition contre le régime en place (cf. § 63 de l'arrêt en question). L'arrêt précité admet certes que les personnes ayant participé, en Iran, à des manifestations en faveur de l'opposition ou pour les droits humains risquent des arrestations et mauvais traitements (cf. § 63: « It is evident from the current information available on Iran (as set out above) that the Iranian authorities frequently detain and ill-treat persons who peacefully participate in oppositional or human rights activities in the country »). Cependant, le recourant n'a pas invoqué avoir subi de telles persécutions ni même d'avoir participé à des manifestations avant son départ du pays. S'agissant des activités politiques en exil, la jurisprudence de la CourEDH ne remet pas en cause la condition du profil particulier dont il est fait mention ci-dessus (cf. consid. 4.2). Dans l'arrêt précité de la CourEDH invoqué par A._______, les recourants se distinguaient par des positions de leaders, l'un d'eux étant même le porte-parole du comité européen soutenant les prisonniers kurdes en Iran. A cela s'ajoute que des images des recourants avaient été diffusées sur plusieurs sites Internet et lors d'émissions télévisées où, appelés nommément, ils avaient expressément émis des critiques envers le régime iranien (cf. l'arrêt précité § 68 s.). C'est relativement à cet état de fait, mais aucunement sur la base du § 63 que la CourEDH a admis que les recourants avaient ainsi pu attirer sur eux l'attention des autorités iraniennes et risquaient d'être persécutés en cas de retour dans leur pays d'origine. Le profil de A._______ n'est pas non plus comparable à celui retenu dans l'arrêt de la CourEDH n° 18913/11, K.K. c. France du 10 octobre 2013, où le requérant était un ancien membre des services de renseignement iraniens.</w:t>
      </w:r>
    </w:p>
    <w:p>
      <w:r>
        <w:rPr>
          <w:b/>
        </w:rPr>
        <w:t>E. 4.3</w:t>
      </w:r>
    </w:p>
    <w:p>
      <w:r>
        <w:t>Il s'ensuit que A._______ n'a pas démontré avoir, du fait de son engagement politique en Suisse, un profil particulier qui irait au-delà du cadre de l'opposition de masse. Ainsi, le prénommé n'a pas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du pays, une crainte fondée de futures persécutions. Partant, les conditions de l'art. 54 LAsi, ne sont pas réalisées en l'espèce.</w:t>
      </w:r>
    </w:p>
    <w:p>
      <w:r>
        <w:rPr>
          <w:b/>
        </w:rPr>
        <w:t>E. 4.4</w:t>
      </w:r>
    </w:p>
    <w:p>
      <w:r>
        <w:t>Il s'ensuit que le recours, en tant qu'il porte sur la reconnaissance de la qualité de réfugié et l'octroi de l'asile, doit être rejeté.</w:t>
      </w:r>
    </w:p>
    <w:p>
      <w:r>
        <w:rPr>
          <w:b/>
        </w:rPr>
        <w:t>E. 5</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n'est pas licite si le renvoi de l'étranger dans son Etat d'origine ou de provenance ou dans un Etat tiers est contraire aux engagements de la Suisse relevant du droit international (art. 83 al. 3 LEtr). Tel est le cas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6.1.1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 et réf. cit.; arrêts de la CourEDH n° 43611/11, F.G. c. Suède du 23 mars 2016, § 130 et § 55 ss.; n° 52077/10, S.F. et autres c. Suède du 15 mai 2012, § 64). En l'occurrence, le recourant n'a pas rendu hautement probable qu'il serait personnellement visé, en cas de retour dans son pays d'origine, par des mesures incompatibles avec l'art. 3 CEDH ou d'autres dispositions contraignantes de droit international (cf. supra consid. 3 et 4).</w:t>
      </w:r>
    </w:p>
    <w:p>
      <w:r>
        <w:rPr>
          <w:b/>
        </w:rPr>
        <w:t>E. 6.1.3</w:t>
      </w:r>
    </w:p>
    <w:p>
      <w:r>
        <w:t>Dès lors, l'exécution du renvoi du recourant ne transgresse aucun engagement de la Suisse relevant du droit international, de sorte qu'elle s'avère licite (art. 44 LAsi et art. 83 al. 3 LEtr).</w:t>
      </w:r>
    </w:p>
    <w:p>
      <w:r>
        <w:rPr>
          <w:b/>
        </w:rPr>
        <w:t>E. 6.2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6.2.1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6.2.2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du recourant. A cet égard, l'autorité de céans relève que le recourant est jeune, au bénéfice d'une expérience professionnelle et n'a pas allégué de problème de santé particulier. Au demeurant, le recourant dispose d'un réseau familial et social dans son pays, sur lequel il pourra compter à son retour.</w:t>
      </w:r>
    </w:p>
    <w:p>
      <w:r>
        <w:rPr>
          <w:b/>
        </w:rPr>
        <w:t>E. 6.2.3</w:t>
      </w:r>
    </w:p>
    <w:p>
      <w:r>
        <w:t>Pour ces motifs, l'exécution du renvoi doit être considérée comme raisonnablement exigible.</w:t>
      </w:r>
    </w:p>
    <w:p>
      <w:r>
        <w:rPr>
          <w:b/>
        </w:rPr>
        <w:t>E. 6.3</w:t>
      </w:r>
    </w:p>
    <w:p>
      <w:r>
        <w:t>L'exécution n'est pas possible lorsque l'étranger ne peut pas quitter la Suisse pour son Etat d'origine, son Etat de provenance ou un Etat tiers, ni être renvoyé dans un de ces Etats (art. 83 al. 2 LEtr).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6.4</w:t>
      </w:r>
    </w:p>
    <w:p>
      <w:r>
        <w:t>L'exécution du renvoi doit ainsi être déclarée conforme aux dispositions légales.</w:t>
      </w:r>
    </w:p>
    <w:p>
      <w:r>
        <w:rPr>
          <w:b/>
        </w:rPr>
        <w:t>E. 7</w:t>
      </w:r>
    </w:p>
    <w:p>
      <w:r>
        <w:t>Il s'ensuit que le recours, en tant qu'il conteste la décision de renvoi et son exécution, doit être également rejeté.</w:t>
      </w:r>
    </w:p>
    <w:p>
      <w:r>
        <w:rPr>
          <w:b/>
        </w:rPr>
        <w:t>E. 8.1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Cependant, la demande de dispense de paiement des frais de procédure doit être admise, les conclusions du recourant, indigent, n'étant pas apparues d'emblée vouées à l'échec (cf. art. 65 al. 1 PA). Il est donc statué sans frais.</w:t>
      </w:r>
    </w:p>
    <w:p>
      <w:r>
        <w:rPr>
          <w:b/>
        </w:rPr>
        <w:t>E. 8.2</w:t>
      </w:r>
    </w:p>
    <w:p>
      <w:r>
        <w:t>B._______ est commis d'office en application de l'art. 110a al. 1 let. a et al. 3 LAsi. Une indemnité à titre d'honoraires et de débours lui sera ainsi accordée (cf. art. 8 à 11 FITAF, applicables par analogie conformément à l'art. 12 FITAF).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(cf. art. 8 al. 2 FITAF). En l'occurrence, l'indemnité est fixée sur la base du dossier, vu l'absence de décompte du représentant d'office (cf. art. 14 al. 2 FITAF). Partant, l'indemnité est arrêtée ex aequo et bono à 800 francs (cf. art. 8 al. 2, art. 11 al. 3 et 4, art. 12, art. 14 FITAF). Conformément à l'art. 65 al. 4 PA, le recourant pourra être tenu de rembourser ce montant s'il revient à meilleure fortune.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